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854F" w14:textId="77777777" w:rsidR="0055636A" w:rsidRDefault="0055636A" w:rsidP="0055636A">
      <w:pPr>
        <w:pStyle w:val="Corpotesto"/>
        <w:jc w:val="center"/>
        <w:rPr>
          <w:sz w:val="20"/>
        </w:rPr>
      </w:pPr>
    </w:p>
    <w:p w14:paraId="5BB1D37E" w14:textId="77777777" w:rsidR="0055636A" w:rsidRDefault="0055636A" w:rsidP="0055636A">
      <w:pPr>
        <w:pStyle w:val="Corpotesto"/>
        <w:jc w:val="center"/>
        <w:rPr>
          <w:sz w:val="20"/>
        </w:rPr>
      </w:pPr>
    </w:p>
    <w:p w14:paraId="6148A1E5" w14:textId="77777777" w:rsidR="0055636A" w:rsidRDefault="0055636A" w:rsidP="0055636A">
      <w:pPr>
        <w:pStyle w:val="Corpotesto"/>
        <w:jc w:val="center"/>
        <w:rPr>
          <w:sz w:val="20"/>
        </w:rPr>
      </w:pPr>
    </w:p>
    <w:p w14:paraId="1B988B07" w14:textId="77777777" w:rsidR="0055636A" w:rsidRDefault="0055636A" w:rsidP="0055636A">
      <w:pPr>
        <w:pStyle w:val="Corpotesto"/>
        <w:jc w:val="center"/>
        <w:rPr>
          <w:sz w:val="20"/>
        </w:rPr>
      </w:pPr>
    </w:p>
    <w:p w14:paraId="7BF58630" w14:textId="77777777" w:rsidR="0055636A" w:rsidRDefault="0055636A" w:rsidP="0055636A">
      <w:pPr>
        <w:pStyle w:val="Corpotesto"/>
        <w:jc w:val="center"/>
        <w:rPr>
          <w:sz w:val="20"/>
        </w:rPr>
      </w:pPr>
    </w:p>
    <w:p w14:paraId="7FC3875C" w14:textId="77777777" w:rsidR="0055636A" w:rsidRDefault="0055636A" w:rsidP="0055636A">
      <w:pPr>
        <w:pStyle w:val="Corpotesto"/>
        <w:jc w:val="center"/>
        <w:rPr>
          <w:sz w:val="20"/>
        </w:rPr>
      </w:pPr>
    </w:p>
    <w:p w14:paraId="519DF32E" w14:textId="77777777" w:rsidR="0055636A" w:rsidRDefault="0055636A" w:rsidP="0055636A">
      <w:pPr>
        <w:pStyle w:val="Corpotesto"/>
        <w:jc w:val="center"/>
        <w:rPr>
          <w:sz w:val="20"/>
        </w:rPr>
      </w:pPr>
    </w:p>
    <w:p w14:paraId="5E236170" w14:textId="77777777" w:rsidR="0055636A" w:rsidRDefault="0055636A" w:rsidP="0055636A">
      <w:pPr>
        <w:pStyle w:val="Corpotesto"/>
        <w:jc w:val="center"/>
        <w:rPr>
          <w:sz w:val="20"/>
        </w:rPr>
      </w:pPr>
    </w:p>
    <w:p w14:paraId="42077335" w14:textId="77777777" w:rsidR="0055636A" w:rsidRDefault="0055636A" w:rsidP="0055636A">
      <w:pPr>
        <w:pStyle w:val="Corpotesto"/>
        <w:jc w:val="center"/>
        <w:rPr>
          <w:sz w:val="20"/>
        </w:rPr>
      </w:pPr>
    </w:p>
    <w:p w14:paraId="2BDC9BC4" w14:textId="77777777" w:rsidR="0055636A" w:rsidRDefault="0055636A" w:rsidP="0055636A">
      <w:pPr>
        <w:pStyle w:val="Corpotesto"/>
        <w:jc w:val="center"/>
        <w:rPr>
          <w:sz w:val="20"/>
        </w:rPr>
      </w:pPr>
    </w:p>
    <w:p w14:paraId="2C63FA83" w14:textId="77777777" w:rsidR="0055636A" w:rsidRDefault="0055636A" w:rsidP="0055636A">
      <w:pPr>
        <w:pStyle w:val="Corpotesto"/>
        <w:jc w:val="center"/>
        <w:rPr>
          <w:sz w:val="20"/>
        </w:rPr>
      </w:pPr>
    </w:p>
    <w:p w14:paraId="7776EF8E" w14:textId="77777777" w:rsidR="0055636A" w:rsidRDefault="0055636A" w:rsidP="0055636A">
      <w:pPr>
        <w:pStyle w:val="Corpotesto"/>
        <w:jc w:val="center"/>
        <w:rPr>
          <w:sz w:val="20"/>
        </w:rPr>
      </w:pPr>
    </w:p>
    <w:p w14:paraId="758B10C1" w14:textId="77777777" w:rsidR="0055636A" w:rsidRDefault="0055636A" w:rsidP="0055636A">
      <w:pPr>
        <w:pStyle w:val="Corpotesto"/>
        <w:jc w:val="center"/>
        <w:rPr>
          <w:sz w:val="20"/>
        </w:rPr>
      </w:pPr>
    </w:p>
    <w:p w14:paraId="172A6373" w14:textId="77777777" w:rsidR="0055636A" w:rsidRDefault="0055636A" w:rsidP="0055636A">
      <w:pPr>
        <w:pStyle w:val="Corpotesto"/>
        <w:jc w:val="center"/>
        <w:rPr>
          <w:sz w:val="20"/>
        </w:rPr>
      </w:pPr>
    </w:p>
    <w:p w14:paraId="3FD79163" w14:textId="77777777" w:rsidR="0055636A" w:rsidRDefault="0055636A" w:rsidP="0055636A">
      <w:pPr>
        <w:pStyle w:val="Corpotesto"/>
        <w:jc w:val="center"/>
        <w:rPr>
          <w:sz w:val="20"/>
        </w:rPr>
      </w:pPr>
    </w:p>
    <w:p w14:paraId="061D5587" w14:textId="77777777" w:rsidR="0055636A" w:rsidRDefault="0055636A" w:rsidP="0055636A">
      <w:pPr>
        <w:pStyle w:val="Corpotesto"/>
        <w:jc w:val="center"/>
        <w:rPr>
          <w:sz w:val="20"/>
        </w:rPr>
      </w:pPr>
    </w:p>
    <w:p w14:paraId="3A47E693" w14:textId="77777777" w:rsidR="0055636A" w:rsidRDefault="0055636A" w:rsidP="0055636A">
      <w:pPr>
        <w:pStyle w:val="Corpotesto"/>
        <w:jc w:val="center"/>
        <w:rPr>
          <w:sz w:val="20"/>
        </w:rPr>
      </w:pPr>
    </w:p>
    <w:p w14:paraId="138C44AB" w14:textId="77777777" w:rsidR="0055636A" w:rsidRDefault="0055636A" w:rsidP="0055636A">
      <w:pPr>
        <w:pStyle w:val="Corpotesto"/>
        <w:jc w:val="center"/>
        <w:rPr>
          <w:sz w:val="20"/>
        </w:rPr>
      </w:pPr>
    </w:p>
    <w:p w14:paraId="4AAED627" w14:textId="77777777" w:rsidR="0055636A" w:rsidRDefault="0055636A" w:rsidP="0055636A">
      <w:pPr>
        <w:pStyle w:val="Corpotesto"/>
        <w:jc w:val="center"/>
        <w:rPr>
          <w:sz w:val="20"/>
        </w:rPr>
      </w:pPr>
    </w:p>
    <w:p w14:paraId="59F139D7" w14:textId="073300B5" w:rsidR="00BD223A" w:rsidRDefault="00A44C42" w:rsidP="0055636A">
      <w:pPr>
        <w:pStyle w:val="Corpotesto"/>
        <w:jc w:val="center"/>
        <w:rPr>
          <w:sz w:val="20"/>
        </w:rPr>
      </w:pPr>
      <w:r>
        <w:rPr>
          <w:noProof/>
          <w:sz w:val="20"/>
        </w:rPr>
        <w:drawing>
          <wp:inline distT="0" distB="0" distL="0" distR="0" wp14:anchorId="1AC4F2BC" wp14:editId="10A0D7F0">
            <wp:extent cx="1783024" cy="701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83024" cy="701040"/>
                    </a:xfrm>
                    <a:prstGeom prst="rect">
                      <a:avLst/>
                    </a:prstGeom>
                  </pic:spPr>
                </pic:pic>
              </a:graphicData>
            </a:graphic>
          </wp:inline>
        </w:drawing>
      </w:r>
    </w:p>
    <w:p w14:paraId="1644D5EF" w14:textId="77777777" w:rsidR="00BD223A" w:rsidRDefault="00BD223A">
      <w:pPr>
        <w:pStyle w:val="Corpotesto"/>
        <w:spacing w:before="3"/>
        <w:rPr>
          <w:sz w:val="16"/>
        </w:rPr>
      </w:pPr>
    </w:p>
    <w:p w14:paraId="17CA16F0" w14:textId="77777777" w:rsidR="00BD223A" w:rsidRDefault="00A44C42" w:rsidP="0055636A">
      <w:pPr>
        <w:pStyle w:val="Titolo1"/>
        <w:spacing w:before="90"/>
        <w:jc w:val="center"/>
      </w:pPr>
      <w:r>
        <w:t>Ufficio Legislativo e Affari Giuridici</w:t>
      </w:r>
    </w:p>
    <w:p w14:paraId="7DBE611E" w14:textId="77777777" w:rsidR="0055636A" w:rsidRDefault="0055636A" w:rsidP="0055636A">
      <w:pPr>
        <w:pStyle w:val="Titolo1"/>
        <w:spacing w:before="90"/>
        <w:jc w:val="center"/>
      </w:pPr>
    </w:p>
    <w:p w14:paraId="2D0749AE" w14:textId="77777777" w:rsidR="0055636A" w:rsidRDefault="0055636A" w:rsidP="0055636A">
      <w:pPr>
        <w:pStyle w:val="Titolo1"/>
        <w:spacing w:before="90"/>
        <w:jc w:val="center"/>
      </w:pPr>
    </w:p>
    <w:p w14:paraId="6DB6FFAA" w14:textId="77777777" w:rsidR="0055636A" w:rsidRDefault="0055636A" w:rsidP="0055636A">
      <w:pPr>
        <w:pStyle w:val="Titolo1"/>
        <w:spacing w:before="90"/>
        <w:jc w:val="center"/>
      </w:pPr>
    </w:p>
    <w:p w14:paraId="2D97409A" w14:textId="77777777" w:rsidR="0055636A" w:rsidRDefault="0055636A" w:rsidP="0055636A">
      <w:pPr>
        <w:pStyle w:val="Titolo1"/>
        <w:spacing w:before="90"/>
        <w:jc w:val="center"/>
      </w:pPr>
    </w:p>
    <w:p w14:paraId="002583B1" w14:textId="77777777" w:rsidR="0055636A" w:rsidRDefault="0055636A" w:rsidP="0055636A">
      <w:pPr>
        <w:pStyle w:val="Titolo1"/>
        <w:spacing w:before="90"/>
        <w:jc w:val="center"/>
      </w:pPr>
    </w:p>
    <w:p w14:paraId="54A12FC5" w14:textId="77777777" w:rsidR="0055636A" w:rsidRDefault="0055636A" w:rsidP="0055636A">
      <w:pPr>
        <w:pStyle w:val="Titolo1"/>
        <w:spacing w:before="90"/>
        <w:jc w:val="center"/>
      </w:pPr>
    </w:p>
    <w:p w14:paraId="497F5310" w14:textId="77777777" w:rsidR="0055636A" w:rsidRDefault="0055636A" w:rsidP="0055636A">
      <w:pPr>
        <w:pStyle w:val="Titolo1"/>
        <w:spacing w:before="90"/>
        <w:jc w:val="center"/>
      </w:pPr>
    </w:p>
    <w:p w14:paraId="53D05748" w14:textId="77777777" w:rsidR="0055636A" w:rsidRDefault="0055636A" w:rsidP="0055636A">
      <w:pPr>
        <w:pStyle w:val="Titolo1"/>
        <w:spacing w:before="90"/>
        <w:jc w:val="center"/>
      </w:pPr>
    </w:p>
    <w:p w14:paraId="6606D6E1" w14:textId="64FF0F71" w:rsidR="0055636A" w:rsidRPr="0055636A" w:rsidRDefault="0055636A" w:rsidP="0055636A">
      <w:pPr>
        <w:pStyle w:val="Titolo1"/>
        <w:spacing w:before="90"/>
        <w:jc w:val="center"/>
        <w:rPr>
          <w:sz w:val="36"/>
          <w:szCs w:val="36"/>
        </w:rPr>
        <w:sectPr w:rsidR="0055636A" w:rsidRPr="0055636A">
          <w:footerReference w:type="default" r:id="rId8"/>
          <w:type w:val="continuous"/>
          <w:pgSz w:w="11910" w:h="16840"/>
          <w:pgMar w:top="1060" w:right="920" w:bottom="1160" w:left="920" w:header="720" w:footer="961" w:gutter="0"/>
          <w:cols w:space="720"/>
        </w:sectPr>
      </w:pPr>
      <w:r w:rsidRPr="0055636A">
        <w:rPr>
          <w:sz w:val="36"/>
          <w:szCs w:val="36"/>
        </w:rPr>
        <w:t>DL SUPER GREEN PASS</w:t>
      </w:r>
    </w:p>
    <w:p w14:paraId="4C3B0DF9" w14:textId="77777777" w:rsidR="00BD223A" w:rsidRDefault="00BD223A">
      <w:pPr>
        <w:sectPr w:rsidR="00BD223A">
          <w:type w:val="continuous"/>
          <w:pgSz w:w="11910" w:h="16840"/>
          <w:pgMar w:top="1060" w:right="920" w:bottom="1160" w:left="920" w:header="720" w:footer="720" w:gutter="0"/>
          <w:cols w:num="2" w:space="720" w:equalWidth="0">
            <w:col w:w="5161" w:space="40"/>
            <w:col w:w="4869"/>
          </w:cols>
        </w:sectPr>
      </w:pPr>
    </w:p>
    <w:p w14:paraId="373D30B0" w14:textId="77777777" w:rsidR="00BD223A" w:rsidRDefault="00A44C42">
      <w:pPr>
        <w:pStyle w:val="Corpotesto"/>
        <w:spacing w:before="10"/>
        <w:rPr>
          <w:sz w:val="20"/>
        </w:rPr>
      </w:pPr>
      <w:r>
        <w:lastRenderedPageBreak/>
        <w:pict w14:anchorId="0588CA2A">
          <v:shapetype id="_x0000_t202" coordsize="21600,21600" o:spt="202" path="m,l,21600r21600,l21600,xe">
            <v:stroke joinstyle="miter"/>
            <v:path gradientshapeok="t" o:connecttype="rect"/>
          </v:shapetype>
          <v:shape id="_x0000_s2053" type="#_x0000_t202" alt="" style="position:absolute;margin-left:51pt;margin-top:14.2pt;width:493.35pt;height:16.2pt;z-index:-15728640;mso-wrap-style:square;mso-wrap-edited:f;mso-width-percent:0;mso-height-percent:0;mso-wrap-distance-left:0;mso-wrap-distance-right:0;mso-position-horizontal-relative:page;mso-width-percent:0;mso-height-percent:0;v-text-anchor:top" filled="f" strokeweight=".48pt">
            <v:textbox inset="0,0,0,0">
              <w:txbxContent>
                <w:p w14:paraId="10C9DF97" w14:textId="77777777" w:rsidR="00BD223A" w:rsidRDefault="00A44C42">
                  <w:pPr>
                    <w:spacing w:before="18"/>
                    <w:ind w:left="108"/>
                    <w:rPr>
                      <w:b/>
                      <w:sz w:val="24"/>
                    </w:rPr>
                  </w:pPr>
                  <w:r>
                    <w:rPr>
                      <w:b/>
                      <w:sz w:val="24"/>
                    </w:rPr>
                    <w:t>Obblighi vaccinali</w:t>
                  </w:r>
                </w:p>
              </w:txbxContent>
            </v:textbox>
            <w10:wrap type="topAndBottom" anchorx="page"/>
          </v:shape>
        </w:pict>
      </w:r>
    </w:p>
    <w:p w14:paraId="4181A249" w14:textId="77777777" w:rsidR="00BD223A" w:rsidRDefault="00BD223A">
      <w:pPr>
        <w:pStyle w:val="Corpotesto"/>
        <w:spacing w:before="4"/>
        <w:rPr>
          <w:sz w:val="13"/>
        </w:rPr>
      </w:pPr>
    </w:p>
    <w:p w14:paraId="253B95E6" w14:textId="77777777" w:rsidR="00BD223A" w:rsidRDefault="00A44C42">
      <w:pPr>
        <w:pStyle w:val="Corpotesto"/>
        <w:spacing w:before="90"/>
        <w:ind w:left="213" w:right="211" w:firstLine="240"/>
        <w:jc w:val="both"/>
      </w:pPr>
      <w:r>
        <w:t>Il decreto-legge prevede di estendere l’obbligo vaccinale alla terza dose (dose di richiamo) a decorrere dal 15 dicembre prossimo e con esclusione della possibilità di essere adibiti a mansioni div</w:t>
      </w:r>
      <w:r>
        <w:t>erse (tranne il caso in cui, a causa accertato pericolo per la salute, in relazione a specifiche condizioni cliniche documentate, attestate dal medico di medicina generale, non sussista l’obbligo di vaccinazione e dunque la stessa possa essere omessa o dif</w:t>
      </w:r>
      <w:r>
        <w:t>ferita, ipotesi in cui il datore di lavoro adibisce i soggetti in questione a mansioni anche diverse, senza decurtazione della retribuzione, in modo da evitare il rischio di diffusione del contagio da</w:t>
      </w:r>
      <w:r>
        <w:rPr>
          <w:spacing w:val="-4"/>
        </w:rPr>
        <w:t xml:space="preserve"> </w:t>
      </w:r>
      <w:r>
        <w:t>SARS-CoV-2).</w:t>
      </w:r>
    </w:p>
    <w:p w14:paraId="79F2680D" w14:textId="77777777" w:rsidR="00BD223A" w:rsidRDefault="00A44C42">
      <w:pPr>
        <w:pStyle w:val="Corpotesto"/>
        <w:spacing w:before="1"/>
        <w:ind w:left="213" w:right="210" w:firstLine="240"/>
        <w:jc w:val="both"/>
      </w:pPr>
      <w:r>
        <w:t>Inoltre, il provvedimento stabilisce l’est</w:t>
      </w:r>
      <w:r>
        <w:t>ensione dell’obbligo vaccinale a ulteriori categorie, sempre a decorrere dal 15 dicembre. Le nuove categorie coinvolte saranno:</w:t>
      </w:r>
    </w:p>
    <w:p w14:paraId="638EB035" w14:textId="77777777" w:rsidR="00BD223A" w:rsidRDefault="00A44C42">
      <w:pPr>
        <w:pStyle w:val="Paragrafoelenco"/>
        <w:numPr>
          <w:ilvl w:val="0"/>
          <w:numId w:val="7"/>
        </w:numPr>
        <w:tabs>
          <w:tab w:val="left" w:pos="921"/>
          <w:tab w:val="left" w:pos="922"/>
        </w:tabs>
        <w:spacing w:before="2"/>
        <w:ind w:hanging="349"/>
        <w:jc w:val="left"/>
        <w:rPr>
          <w:sz w:val="24"/>
        </w:rPr>
      </w:pPr>
      <w:r>
        <w:rPr>
          <w:sz w:val="24"/>
        </w:rPr>
        <w:t>personale amministrativo della</w:t>
      </w:r>
      <w:r>
        <w:rPr>
          <w:spacing w:val="-1"/>
          <w:sz w:val="24"/>
        </w:rPr>
        <w:t xml:space="preserve"> </w:t>
      </w:r>
      <w:r>
        <w:rPr>
          <w:sz w:val="24"/>
        </w:rPr>
        <w:t>sanità</w:t>
      </w:r>
    </w:p>
    <w:p w14:paraId="740ADA43" w14:textId="77777777" w:rsidR="00BD223A" w:rsidRDefault="00A44C42">
      <w:pPr>
        <w:pStyle w:val="Paragrafoelenco"/>
        <w:numPr>
          <w:ilvl w:val="0"/>
          <w:numId w:val="7"/>
        </w:numPr>
        <w:tabs>
          <w:tab w:val="left" w:pos="921"/>
          <w:tab w:val="left" w:pos="922"/>
        </w:tabs>
        <w:spacing w:before="22"/>
        <w:ind w:hanging="349"/>
        <w:jc w:val="left"/>
        <w:rPr>
          <w:sz w:val="24"/>
        </w:rPr>
      </w:pPr>
      <w:r>
        <w:rPr>
          <w:sz w:val="24"/>
        </w:rPr>
        <w:t>docenti e personale amministrativo della</w:t>
      </w:r>
      <w:r>
        <w:rPr>
          <w:spacing w:val="-3"/>
          <w:sz w:val="24"/>
        </w:rPr>
        <w:t xml:space="preserve"> </w:t>
      </w:r>
      <w:r>
        <w:rPr>
          <w:sz w:val="24"/>
        </w:rPr>
        <w:t>scuola</w:t>
      </w:r>
    </w:p>
    <w:p w14:paraId="5F642397" w14:textId="77777777" w:rsidR="00BD223A" w:rsidRDefault="00A44C42">
      <w:pPr>
        <w:pStyle w:val="Paragrafoelenco"/>
        <w:numPr>
          <w:ilvl w:val="0"/>
          <w:numId w:val="7"/>
        </w:numPr>
        <w:tabs>
          <w:tab w:val="left" w:pos="921"/>
          <w:tab w:val="left" w:pos="922"/>
        </w:tabs>
        <w:spacing w:before="21"/>
        <w:ind w:hanging="349"/>
        <w:jc w:val="left"/>
        <w:rPr>
          <w:sz w:val="24"/>
        </w:rPr>
      </w:pPr>
      <w:r>
        <w:rPr>
          <w:sz w:val="24"/>
        </w:rPr>
        <w:t>militari</w:t>
      </w:r>
    </w:p>
    <w:p w14:paraId="1FB63D63" w14:textId="77777777" w:rsidR="00BD223A" w:rsidRDefault="00A44C42">
      <w:pPr>
        <w:pStyle w:val="Paragrafoelenco"/>
        <w:numPr>
          <w:ilvl w:val="0"/>
          <w:numId w:val="7"/>
        </w:numPr>
        <w:tabs>
          <w:tab w:val="left" w:pos="921"/>
          <w:tab w:val="left" w:pos="922"/>
        </w:tabs>
        <w:spacing w:before="20"/>
        <w:ind w:hanging="349"/>
        <w:jc w:val="left"/>
        <w:rPr>
          <w:sz w:val="24"/>
        </w:rPr>
      </w:pPr>
      <w:r>
        <w:rPr>
          <w:sz w:val="24"/>
        </w:rPr>
        <w:t>forze di polizia (compresa la polizia</w:t>
      </w:r>
      <w:r>
        <w:rPr>
          <w:spacing w:val="-3"/>
          <w:sz w:val="24"/>
        </w:rPr>
        <w:t xml:space="preserve"> </w:t>
      </w:r>
      <w:r>
        <w:rPr>
          <w:sz w:val="24"/>
        </w:rPr>
        <w:t>penitenziaria)</w:t>
      </w:r>
    </w:p>
    <w:p w14:paraId="2D5DB72A" w14:textId="77777777" w:rsidR="00BD223A" w:rsidRDefault="00A44C42">
      <w:pPr>
        <w:pStyle w:val="Paragrafoelenco"/>
        <w:numPr>
          <w:ilvl w:val="0"/>
          <w:numId w:val="7"/>
        </w:numPr>
        <w:tabs>
          <w:tab w:val="left" w:pos="921"/>
          <w:tab w:val="left" w:pos="922"/>
        </w:tabs>
        <w:spacing w:before="23"/>
        <w:ind w:hanging="349"/>
        <w:jc w:val="left"/>
        <w:rPr>
          <w:sz w:val="24"/>
        </w:rPr>
      </w:pPr>
      <w:r>
        <w:rPr>
          <w:sz w:val="24"/>
        </w:rPr>
        <w:t>personale del soccorso</w:t>
      </w:r>
      <w:r>
        <w:rPr>
          <w:spacing w:val="-1"/>
          <w:sz w:val="24"/>
        </w:rPr>
        <w:t xml:space="preserve"> </w:t>
      </w:r>
      <w:r>
        <w:rPr>
          <w:sz w:val="24"/>
        </w:rPr>
        <w:t>pubblico.</w:t>
      </w:r>
    </w:p>
    <w:p w14:paraId="7F488292" w14:textId="77777777" w:rsidR="00BD223A" w:rsidRDefault="00BD223A">
      <w:pPr>
        <w:pStyle w:val="Corpotesto"/>
        <w:rPr>
          <w:sz w:val="20"/>
        </w:rPr>
      </w:pPr>
    </w:p>
    <w:p w14:paraId="1BC623B6" w14:textId="77777777" w:rsidR="00BD223A" w:rsidRDefault="00BD223A">
      <w:pPr>
        <w:pStyle w:val="Corpotesto"/>
        <w:rPr>
          <w:sz w:val="20"/>
        </w:rPr>
      </w:pPr>
    </w:p>
    <w:p w14:paraId="771D9AB8" w14:textId="77777777" w:rsidR="00BD223A" w:rsidRDefault="00A44C42">
      <w:pPr>
        <w:pStyle w:val="Corpotesto"/>
        <w:ind w:left="95"/>
        <w:rPr>
          <w:sz w:val="20"/>
        </w:rPr>
      </w:pPr>
      <w:r>
        <w:rPr>
          <w:sz w:val="20"/>
        </w:rPr>
      </w:r>
      <w:r>
        <w:rPr>
          <w:sz w:val="20"/>
        </w:rPr>
        <w:pict w14:anchorId="347A6E80">
          <v:shape id="_x0000_s2052" type="#_x0000_t202" alt="" style="width:493.35pt;height:16.2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inset="0,0,0,0">
              <w:txbxContent>
                <w:p w14:paraId="5110EC74" w14:textId="77777777" w:rsidR="00BD223A" w:rsidRDefault="00A44C42">
                  <w:pPr>
                    <w:spacing w:before="18"/>
                    <w:ind w:left="108"/>
                    <w:rPr>
                      <w:b/>
                      <w:sz w:val="24"/>
                    </w:rPr>
                  </w:pPr>
                  <w:r>
                    <w:rPr>
                      <w:b/>
                      <w:sz w:val="24"/>
                    </w:rPr>
                    <w:t>Impiego delle certificazioni verdi COVID-19</w:t>
                  </w:r>
                </w:p>
              </w:txbxContent>
            </v:textbox>
            <w10:anchorlock/>
          </v:shape>
        </w:pict>
      </w:r>
    </w:p>
    <w:p w14:paraId="45C58F03" w14:textId="77777777" w:rsidR="00BD223A" w:rsidRDefault="00BD223A">
      <w:pPr>
        <w:pStyle w:val="Corpotesto"/>
        <w:spacing w:before="3"/>
        <w:rPr>
          <w:sz w:val="13"/>
        </w:rPr>
      </w:pPr>
    </w:p>
    <w:p w14:paraId="470C3DD5" w14:textId="77777777" w:rsidR="00BD223A" w:rsidRDefault="00A44C42">
      <w:pPr>
        <w:pStyle w:val="Titolo2"/>
        <w:rPr>
          <w:u w:val="none"/>
        </w:rPr>
      </w:pPr>
      <w:r>
        <w:rPr>
          <w:u w:val="thick"/>
        </w:rPr>
        <w:t>Durata delle certificazioni verdi COVID-19</w:t>
      </w:r>
    </w:p>
    <w:p w14:paraId="3BACE2C1" w14:textId="77777777" w:rsidR="00BD223A" w:rsidRDefault="00BD223A">
      <w:pPr>
        <w:pStyle w:val="Corpotesto"/>
        <w:spacing w:before="2"/>
        <w:rPr>
          <w:b/>
          <w:i/>
          <w:sz w:val="16"/>
        </w:rPr>
      </w:pPr>
    </w:p>
    <w:p w14:paraId="7283DFCD" w14:textId="77777777" w:rsidR="00BD223A" w:rsidRDefault="00A44C42">
      <w:pPr>
        <w:spacing w:before="90"/>
        <w:ind w:left="213" w:right="210" w:firstLine="240"/>
        <w:jc w:val="both"/>
        <w:rPr>
          <w:sz w:val="24"/>
        </w:rPr>
      </w:pPr>
      <w:r>
        <w:rPr>
          <w:sz w:val="24"/>
        </w:rPr>
        <w:t>L’art. 3 del DL provvede alla modifica dell’art. 9 del decreto-legge 22 aprile 2021, n. 52, convertito, con modificazioni, dalla legge 17 giugno 2021, n. 87. In particolare, a</w:t>
      </w:r>
      <w:r>
        <w:rPr>
          <w:sz w:val="24"/>
        </w:rPr>
        <w:t>l comma 2, lettera a), le parole “</w:t>
      </w:r>
      <w:r>
        <w:rPr>
          <w:i/>
          <w:sz w:val="24"/>
        </w:rPr>
        <w:t>al termine del prescritto ciclo</w:t>
      </w:r>
      <w:r>
        <w:rPr>
          <w:sz w:val="24"/>
        </w:rPr>
        <w:t>” sono sostituite dalle seguenti: “</w:t>
      </w:r>
      <w:r>
        <w:rPr>
          <w:i/>
          <w:sz w:val="24"/>
        </w:rPr>
        <w:t>al termine del ciclo vaccinale primario o della somministrazione della relativa dose di richiamo</w:t>
      </w:r>
      <w:r>
        <w:rPr>
          <w:sz w:val="24"/>
        </w:rPr>
        <w:t>”.</w:t>
      </w:r>
    </w:p>
    <w:p w14:paraId="482DA592" w14:textId="77777777" w:rsidR="00BD223A" w:rsidRDefault="00BD223A">
      <w:pPr>
        <w:pStyle w:val="Corpotesto"/>
        <w:rPr>
          <w:sz w:val="16"/>
        </w:rPr>
      </w:pPr>
    </w:p>
    <w:p w14:paraId="1A35B3AC" w14:textId="77777777" w:rsidR="00BD223A" w:rsidRDefault="00A44C42">
      <w:pPr>
        <w:pStyle w:val="Titolo1"/>
        <w:spacing w:before="90"/>
        <w:ind w:right="209"/>
        <w:jc w:val="both"/>
        <w:rPr>
          <w:b w:val="0"/>
        </w:rPr>
      </w:pPr>
      <w:r>
        <w:t>Con le modifiche che interverranno dalla data dell’entra</w:t>
      </w:r>
      <w:r>
        <w:t>ta in vigore, dunque, il “</w:t>
      </w:r>
      <w:r>
        <w:rPr>
          <w:color w:val="006600"/>
          <w:shd w:val="clear" w:color="auto" w:fill="FFFF00"/>
        </w:rPr>
        <w:t>green pass</w:t>
      </w:r>
      <w:r>
        <w:rPr>
          <w:color w:val="006600"/>
        </w:rPr>
        <w:t xml:space="preserve"> </w:t>
      </w:r>
      <w:r>
        <w:rPr>
          <w:color w:val="006600"/>
          <w:shd w:val="clear" w:color="auto" w:fill="FFFF00"/>
        </w:rPr>
        <w:t>base</w:t>
      </w:r>
      <w:r>
        <w:t xml:space="preserve">” (lo definiamo così per distinguerlo dal </w:t>
      </w:r>
      <w:r>
        <w:rPr>
          <w:color w:val="006600"/>
          <w:shd w:val="clear" w:color="auto" w:fill="FFFF00"/>
        </w:rPr>
        <w:t>SUPER GREEN PASS</w:t>
      </w:r>
      <w:r>
        <w:t>, di cui diremo in seguito) attesterà una delle seguenti condizioni</w:t>
      </w:r>
      <w:r>
        <w:rPr>
          <w:b w:val="0"/>
        </w:rPr>
        <w:t>:</w:t>
      </w:r>
    </w:p>
    <w:p w14:paraId="193A9AF7" w14:textId="77777777" w:rsidR="00BD223A" w:rsidRDefault="00BD223A">
      <w:pPr>
        <w:pStyle w:val="Corpotesto"/>
      </w:pPr>
    </w:p>
    <w:p w14:paraId="7857A229" w14:textId="77777777" w:rsidR="00BD223A" w:rsidRDefault="00A44C42">
      <w:pPr>
        <w:pStyle w:val="Paragrafoelenco"/>
        <w:numPr>
          <w:ilvl w:val="0"/>
          <w:numId w:val="6"/>
        </w:numPr>
        <w:tabs>
          <w:tab w:val="left" w:pos="782"/>
        </w:tabs>
        <w:ind w:right="214" w:hanging="284"/>
        <w:jc w:val="both"/>
        <w:rPr>
          <w:sz w:val="24"/>
        </w:rPr>
      </w:pPr>
      <w:r>
        <w:rPr>
          <w:sz w:val="24"/>
        </w:rPr>
        <w:t xml:space="preserve">avvenuta vaccinazione anti-SARS-CoV-2, </w:t>
      </w:r>
      <w:r>
        <w:rPr>
          <w:b/>
          <w:i/>
          <w:color w:val="FF0000"/>
          <w:sz w:val="24"/>
        </w:rPr>
        <w:t>al termine del ciclo vaccinale primario o della somministrazione della relativa dose di</w:t>
      </w:r>
      <w:r>
        <w:rPr>
          <w:b/>
          <w:i/>
          <w:color w:val="FF0000"/>
          <w:spacing w:val="-4"/>
          <w:sz w:val="24"/>
        </w:rPr>
        <w:t xml:space="preserve"> </w:t>
      </w:r>
      <w:r>
        <w:rPr>
          <w:b/>
          <w:i/>
          <w:color w:val="FF0000"/>
          <w:sz w:val="24"/>
        </w:rPr>
        <w:t>richiamo</w:t>
      </w:r>
      <w:r>
        <w:rPr>
          <w:sz w:val="24"/>
        </w:rPr>
        <w:t>;</w:t>
      </w:r>
    </w:p>
    <w:p w14:paraId="54F4F415" w14:textId="77777777" w:rsidR="00BD223A" w:rsidRDefault="00A44C42">
      <w:pPr>
        <w:pStyle w:val="Paragrafoelenco"/>
        <w:numPr>
          <w:ilvl w:val="0"/>
          <w:numId w:val="6"/>
        </w:numPr>
        <w:tabs>
          <w:tab w:val="left" w:pos="785"/>
        </w:tabs>
        <w:ind w:right="214" w:hanging="284"/>
        <w:jc w:val="both"/>
        <w:rPr>
          <w:sz w:val="24"/>
        </w:rPr>
      </w:pPr>
      <w:r>
        <w:rPr>
          <w:sz w:val="24"/>
        </w:rPr>
        <w:t>avvenuta guarigione da COVID-19, con contestuale cessazione dell'isolamento prescritto in seguito ad infezione da SARS-CoV-2, disposta in ottemperanza ai criteri stabiliti con le circolari del Ministero della</w:t>
      </w:r>
      <w:r>
        <w:rPr>
          <w:spacing w:val="-2"/>
          <w:sz w:val="24"/>
        </w:rPr>
        <w:t xml:space="preserve"> </w:t>
      </w:r>
      <w:r>
        <w:rPr>
          <w:sz w:val="24"/>
        </w:rPr>
        <w:t>salute;</w:t>
      </w:r>
    </w:p>
    <w:p w14:paraId="5444A6C4" w14:textId="77777777" w:rsidR="00BD223A" w:rsidRDefault="00A44C42">
      <w:pPr>
        <w:pStyle w:val="Paragrafoelenco"/>
        <w:numPr>
          <w:ilvl w:val="0"/>
          <w:numId w:val="6"/>
        </w:numPr>
        <w:tabs>
          <w:tab w:val="left" w:pos="754"/>
        </w:tabs>
        <w:spacing w:before="1"/>
        <w:ind w:right="209" w:hanging="284"/>
        <w:jc w:val="both"/>
        <w:rPr>
          <w:sz w:val="24"/>
        </w:rPr>
      </w:pPr>
      <w:r>
        <w:rPr>
          <w:sz w:val="24"/>
        </w:rPr>
        <w:t>effettuazione di test antigenico rapido</w:t>
      </w:r>
      <w:r>
        <w:rPr>
          <w:sz w:val="24"/>
        </w:rPr>
        <w:t xml:space="preserve"> o molecolare, quest’ultimo anche su campione salivare e nel rispetto dei criteri stabiliti con circolare del Ministero della salute, con esito negativo al virus</w:t>
      </w:r>
      <w:r>
        <w:rPr>
          <w:spacing w:val="-1"/>
          <w:sz w:val="24"/>
        </w:rPr>
        <w:t xml:space="preserve"> </w:t>
      </w:r>
      <w:r>
        <w:rPr>
          <w:sz w:val="24"/>
        </w:rPr>
        <w:t>SARS-CoV-2;</w:t>
      </w:r>
    </w:p>
    <w:p w14:paraId="68BE7E93" w14:textId="77777777" w:rsidR="00BD223A" w:rsidRDefault="00A44C42">
      <w:pPr>
        <w:pStyle w:val="Corpotesto"/>
        <w:ind w:left="779" w:right="257" w:hanging="284"/>
      </w:pPr>
      <w:r>
        <w:t>c-bis) avvenuta guarigione da COVID-19 dopo la somministrazione della prima dose d</w:t>
      </w:r>
      <w:r>
        <w:t>i vaccino o al termine del prescritto</w:t>
      </w:r>
      <w:r>
        <w:rPr>
          <w:spacing w:val="-2"/>
        </w:rPr>
        <w:t xml:space="preserve"> </w:t>
      </w:r>
      <w:r>
        <w:t>ciclo.</w:t>
      </w:r>
    </w:p>
    <w:p w14:paraId="6F0AB147" w14:textId="77777777" w:rsidR="00BD223A" w:rsidRDefault="00BD223A">
      <w:pPr>
        <w:pStyle w:val="Corpotesto"/>
      </w:pPr>
    </w:p>
    <w:p w14:paraId="083FF5DF" w14:textId="77777777" w:rsidR="00BD223A" w:rsidRDefault="00A44C42">
      <w:pPr>
        <w:pStyle w:val="Titolo1"/>
        <w:ind w:right="208"/>
        <w:jc w:val="both"/>
      </w:pPr>
      <w:r>
        <w:t xml:space="preserve">Quanto, specificamente, alla durata, il terzo comma dell’art. 9 viene modificato portando </w:t>
      </w:r>
      <w:r>
        <w:rPr>
          <w:u w:val="thick"/>
        </w:rPr>
        <w:t>da</w:t>
      </w:r>
      <w:r>
        <w:t xml:space="preserve"> </w:t>
      </w:r>
      <w:r>
        <w:rPr>
          <w:u w:val="thick"/>
        </w:rPr>
        <w:t>dodici mesi a nove la durata del green pass</w:t>
      </w:r>
      <w:r>
        <w:t>. Questo il nuovo testo della norma:</w:t>
      </w:r>
    </w:p>
    <w:p w14:paraId="18C80FE8" w14:textId="77777777" w:rsidR="00BD223A" w:rsidRDefault="00BD223A">
      <w:pPr>
        <w:pStyle w:val="Corpotesto"/>
        <w:spacing w:before="2"/>
        <w:rPr>
          <w:b/>
          <w:sz w:val="16"/>
        </w:rPr>
      </w:pPr>
    </w:p>
    <w:p w14:paraId="4E16EAFB" w14:textId="77777777" w:rsidR="00BD223A" w:rsidRDefault="00A44C42">
      <w:pPr>
        <w:pStyle w:val="Corpotesto"/>
        <w:spacing w:before="90"/>
        <w:ind w:left="354" w:right="209" w:hanging="142"/>
        <w:jc w:val="both"/>
      </w:pPr>
      <w:r>
        <w:rPr>
          <w:color w:val="0000FF"/>
        </w:rPr>
        <w:t xml:space="preserve">3. La certificazione verde COVID-19 </w:t>
      </w:r>
      <w:r>
        <w:rPr>
          <w:color w:val="0000FF"/>
        </w:rPr>
        <w:t xml:space="preserve">rilasciata sulla base della condizione prevista dal comma 2, lettera a), ha una validità di </w:t>
      </w:r>
      <w:r>
        <w:rPr>
          <w:i/>
          <w:color w:val="FF0000"/>
        </w:rPr>
        <w:t xml:space="preserve">nove mesi </w:t>
      </w:r>
      <w:r>
        <w:rPr>
          <w:color w:val="0000FF"/>
        </w:rPr>
        <w:t xml:space="preserve">a far data dal completamento del ciclo vaccinale </w:t>
      </w:r>
      <w:r>
        <w:rPr>
          <w:i/>
          <w:color w:val="FF0000"/>
        </w:rPr>
        <w:t>primario</w:t>
      </w:r>
      <w:r>
        <w:rPr>
          <w:i/>
          <w:color w:val="0000FF"/>
        </w:rPr>
        <w:t xml:space="preserve"> </w:t>
      </w:r>
      <w:r>
        <w:rPr>
          <w:color w:val="0000FF"/>
        </w:rPr>
        <w:t>ed è rilasciata automaticamente all'interessato, in formato cartaceo o digitale, dalla struttura</w:t>
      </w:r>
      <w:r>
        <w:rPr>
          <w:color w:val="0000FF"/>
        </w:rPr>
        <w:t xml:space="preserve"> sanitaria ovvero dall'esercente la professione sanitaria che effettua la vaccinazione e contestualmente alla stessa, al termine del prescritto ciclo. </w:t>
      </w:r>
      <w:r>
        <w:rPr>
          <w:i/>
          <w:color w:val="FF0000"/>
        </w:rPr>
        <w:t>In caso di somministrazione della dose di richiamo successivo al ciclo vaccinale primario, la certificazi</w:t>
      </w:r>
      <w:r>
        <w:rPr>
          <w:i/>
          <w:color w:val="FF0000"/>
        </w:rPr>
        <w:t xml:space="preserve">one verde COVID-19 ha una </w:t>
      </w:r>
      <w:r>
        <w:rPr>
          <w:i/>
          <w:color w:val="FF0000"/>
        </w:rPr>
        <w:lastRenderedPageBreak/>
        <w:t>validità di nove mesi a far data dalla medesima somministrazione</w:t>
      </w:r>
      <w:r>
        <w:rPr>
          <w:color w:val="0000FF"/>
        </w:rPr>
        <w:t>. La certificazione verde COVID-19 di cui al primo periodo è rilasciata anche contestualmente alla somministrazione della prima dose di vaccino e ha validità dal quin</w:t>
      </w:r>
      <w:r>
        <w:rPr>
          <w:color w:val="0000FF"/>
        </w:rPr>
        <w:t>dicesimo giorno successivo alla somministrazione fino alla data prevista per il completamento del ciclo vaccinale, la quale deve essere indicata nella certificazione all'atto del rilascio. La certificazione verde COVID-19 di cui al primo periodo è rilascia</w:t>
      </w:r>
      <w:r>
        <w:rPr>
          <w:color w:val="0000FF"/>
        </w:rPr>
        <w:t xml:space="preserve">ta altresì contestualmente all'avvenuta somministrazione di una sola dose di un vaccino dopo una precedente infezione da SARS-CoV-2 e ha validità dalla medesima somministrazione. Contestualmente al rilascio, la </w:t>
      </w:r>
      <w:proofErr w:type="gramStart"/>
      <w:r>
        <w:rPr>
          <w:color w:val="0000FF"/>
        </w:rPr>
        <w:t>predetta</w:t>
      </w:r>
      <w:proofErr w:type="gramEnd"/>
      <w:r>
        <w:rPr>
          <w:color w:val="0000FF"/>
        </w:rPr>
        <w:t xml:space="preserve"> struttura sanitaria, ovvero il prede</w:t>
      </w:r>
      <w:r>
        <w:rPr>
          <w:color w:val="0000FF"/>
        </w:rPr>
        <w:t>tto esercente la professione sanitaria, anche per il tramite dei sistemi informativi regionali, provvede a rendere disponibile detta certificazione nel fascicolo sanitario elettronico dell'interessato. La certificazione di cui al presente comma cessa di av</w:t>
      </w:r>
      <w:r>
        <w:rPr>
          <w:color w:val="0000FF"/>
        </w:rPr>
        <w:t>ere validità qualora, nel periodo di vigenza della stessa, l'interessato sia identificato come caso accertato positivo al</w:t>
      </w:r>
      <w:r>
        <w:rPr>
          <w:color w:val="0000FF"/>
          <w:spacing w:val="-3"/>
        </w:rPr>
        <w:t xml:space="preserve"> </w:t>
      </w:r>
      <w:r>
        <w:rPr>
          <w:color w:val="0000FF"/>
        </w:rPr>
        <w:t>SARS-CoV-2.</w:t>
      </w:r>
    </w:p>
    <w:p w14:paraId="604185C2" w14:textId="77777777" w:rsidR="00BD223A" w:rsidRDefault="00BD223A">
      <w:pPr>
        <w:pStyle w:val="Corpotesto"/>
        <w:spacing w:before="1"/>
      </w:pPr>
    </w:p>
    <w:p w14:paraId="4CB556DE" w14:textId="77777777" w:rsidR="00BD223A" w:rsidRDefault="00A44C42">
      <w:pPr>
        <w:pStyle w:val="Titolo1"/>
        <w:spacing w:before="1"/>
        <w:ind w:right="257"/>
      </w:pPr>
      <w:r>
        <w:t>Anche la durata del green pass per chi abbia contratto il virus dopo la vaccinazione viene portata a nove mesi:</w:t>
      </w:r>
    </w:p>
    <w:p w14:paraId="63D251FF" w14:textId="77777777" w:rsidR="00BD223A" w:rsidRDefault="00BD223A">
      <w:pPr>
        <w:pStyle w:val="Corpotesto"/>
        <w:spacing w:before="11"/>
        <w:rPr>
          <w:b/>
          <w:sz w:val="23"/>
        </w:rPr>
      </w:pPr>
    </w:p>
    <w:p w14:paraId="56DADAA1" w14:textId="77777777" w:rsidR="00BD223A" w:rsidRDefault="00A44C42" w:rsidP="0091152C">
      <w:pPr>
        <w:pStyle w:val="Corpotesto"/>
        <w:ind w:left="354" w:hanging="142"/>
        <w:jc w:val="both"/>
        <w:rPr>
          <w:color w:val="0000FF"/>
        </w:rPr>
      </w:pPr>
      <w:r>
        <w:rPr>
          <w:color w:val="0000FF"/>
        </w:rPr>
        <w:t>4-bis. A</w:t>
      </w:r>
      <w:r>
        <w:rPr>
          <w:color w:val="0000FF"/>
        </w:rPr>
        <w:t xml:space="preserve"> coloro che sono stati identificati come casi accertati positivi al SARS-CoV-2 oltre il</w:t>
      </w:r>
      <w:r w:rsidR="0091152C">
        <w:rPr>
          <w:color w:val="0000FF"/>
        </w:rPr>
        <w:t xml:space="preserve"> </w:t>
      </w:r>
      <w:r>
        <w:rPr>
          <w:color w:val="0000FF"/>
        </w:rPr>
        <w:t>quattordicesimo giorno dalla somministrazione della prima dose di vaccino, nonché a seguito del</w:t>
      </w:r>
      <w:r w:rsidR="0091152C">
        <w:rPr>
          <w:color w:val="0000FF"/>
        </w:rPr>
        <w:t xml:space="preserve"> </w:t>
      </w:r>
      <w:r w:rsidR="0091152C">
        <w:rPr>
          <w:color w:val="0000FF"/>
        </w:rPr>
        <w:t xml:space="preserve">prescritto ciclo, è rilasciata, altresì, la certificazione verde COVID-19 di cui al comma 2, lettera c- bis), che ha validità di </w:t>
      </w:r>
      <w:r w:rsidR="0091152C">
        <w:rPr>
          <w:i/>
          <w:color w:val="FF0000"/>
        </w:rPr>
        <w:t xml:space="preserve">nove mesi </w:t>
      </w:r>
      <w:r w:rsidR="0091152C">
        <w:rPr>
          <w:color w:val="0000FF"/>
        </w:rPr>
        <w:t>a decorrere dall'avvenuta guarigione.</w:t>
      </w:r>
      <w:r w:rsidR="0091152C">
        <w:rPr>
          <w:color w:val="0000FF"/>
        </w:rPr>
        <w:t xml:space="preserve">  </w:t>
      </w:r>
    </w:p>
    <w:p w14:paraId="5E57709A" w14:textId="77777777" w:rsidR="0091152C" w:rsidRDefault="0091152C" w:rsidP="0091152C">
      <w:pPr>
        <w:pStyle w:val="Corpotesto"/>
        <w:ind w:left="354" w:hanging="142"/>
        <w:jc w:val="both"/>
        <w:rPr>
          <w:color w:val="0000FF"/>
        </w:rPr>
      </w:pPr>
    </w:p>
    <w:p w14:paraId="7E77A5C6" w14:textId="77777777" w:rsidR="0091152C" w:rsidRDefault="0091152C" w:rsidP="0091152C">
      <w:pPr>
        <w:pStyle w:val="Corpotesto"/>
        <w:ind w:left="354" w:hanging="142"/>
        <w:jc w:val="both"/>
        <w:rPr>
          <w:color w:val="0000FF"/>
        </w:rPr>
      </w:pPr>
    </w:p>
    <w:p w14:paraId="07AB97D5" w14:textId="77777777" w:rsidR="0091152C" w:rsidRDefault="0091152C" w:rsidP="0091152C">
      <w:pPr>
        <w:pStyle w:val="Corpotesto"/>
        <w:ind w:left="354" w:hanging="142"/>
        <w:jc w:val="both"/>
        <w:rPr>
          <w:color w:val="0000FF"/>
        </w:rPr>
      </w:pPr>
    </w:p>
    <w:p w14:paraId="7F79A8DC" w14:textId="77777777" w:rsidR="0091152C" w:rsidRDefault="0091152C" w:rsidP="0091152C">
      <w:pPr>
        <w:pStyle w:val="Titolo2"/>
        <w:spacing w:before="0"/>
        <w:rPr>
          <w:u w:val="none"/>
        </w:rPr>
      </w:pPr>
      <w:r>
        <w:rPr>
          <w:u w:val="thick"/>
        </w:rPr>
        <w:t>Estensione dell’impiego delle certificazioni verdi COVID-19</w:t>
      </w:r>
    </w:p>
    <w:p w14:paraId="7950036B" w14:textId="77777777" w:rsidR="0091152C" w:rsidRDefault="0091152C" w:rsidP="0091152C">
      <w:pPr>
        <w:pStyle w:val="Corpotesto"/>
        <w:spacing w:before="2"/>
        <w:rPr>
          <w:b/>
          <w:i/>
          <w:sz w:val="16"/>
        </w:rPr>
      </w:pPr>
    </w:p>
    <w:p w14:paraId="0DA017AF" w14:textId="77777777" w:rsidR="0091152C" w:rsidRDefault="0091152C" w:rsidP="0091152C">
      <w:pPr>
        <w:spacing w:before="90"/>
        <w:ind w:left="213" w:right="257"/>
        <w:rPr>
          <w:b/>
          <w:sz w:val="24"/>
        </w:rPr>
      </w:pPr>
      <w:r>
        <w:rPr>
          <w:b/>
          <w:sz w:val="24"/>
        </w:rPr>
        <w:t>L’art. 4 del DL modifica l’art. 9-bis del DL n. 52, convertito in legge n. 87, nel modo che segue:</w:t>
      </w:r>
    </w:p>
    <w:p w14:paraId="51B95922" w14:textId="77777777" w:rsidR="0091152C" w:rsidRDefault="0091152C" w:rsidP="0091152C">
      <w:pPr>
        <w:pStyle w:val="Corpotesto"/>
        <w:spacing w:before="9"/>
        <w:rPr>
          <w:b/>
          <w:sz w:val="23"/>
        </w:rPr>
      </w:pPr>
    </w:p>
    <w:p w14:paraId="4E9D4EE8" w14:textId="77777777" w:rsidR="0091152C" w:rsidRDefault="0091152C" w:rsidP="0091152C">
      <w:pPr>
        <w:pStyle w:val="Paragrafoelenco"/>
        <w:numPr>
          <w:ilvl w:val="0"/>
          <w:numId w:val="5"/>
        </w:numPr>
        <w:tabs>
          <w:tab w:val="left" w:pos="567"/>
        </w:tabs>
        <w:ind w:right="218" w:firstLine="0"/>
        <w:jc w:val="both"/>
        <w:rPr>
          <w:sz w:val="24"/>
        </w:rPr>
      </w:pPr>
      <w:r>
        <w:rPr>
          <w:color w:val="0000FF"/>
          <w:sz w:val="24"/>
        </w:rPr>
        <w:t xml:space="preserve">(…) è consentito </w:t>
      </w:r>
      <w:r>
        <w:rPr>
          <w:b/>
          <w:color w:val="0000FF"/>
          <w:sz w:val="24"/>
          <w:u w:val="thick" w:color="0000FF"/>
        </w:rPr>
        <w:t>in zona bianca</w:t>
      </w:r>
      <w:r>
        <w:rPr>
          <w:b/>
          <w:color w:val="0000FF"/>
          <w:sz w:val="24"/>
        </w:rPr>
        <w:t xml:space="preserve"> </w:t>
      </w:r>
      <w:r>
        <w:rPr>
          <w:color w:val="0000FF"/>
          <w:sz w:val="24"/>
        </w:rPr>
        <w:t>esclusivamente ai soggetti muniti di una delle certificazioni verdi COVID-19, di cui all'articolo 9, comma 2, l'accesso ai seguenti servizi e</w:t>
      </w:r>
      <w:r>
        <w:rPr>
          <w:color w:val="0000FF"/>
          <w:spacing w:val="-4"/>
          <w:sz w:val="24"/>
        </w:rPr>
        <w:t xml:space="preserve"> </w:t>
      </w:r>
      <w:r>
        <w:rPr>
          <w:color w:val="0000FF"/>
          <w:sz w:val="24"/>
        </w:rPr>
        <w:t>attività:</w:t>
      </w:r>
    </w:p>
    <w:p w14:paraId="03E90728" w14:textId="77777777" w:rsidR="0091152C" w:rsidRDefault="0091152C" w:rsidP="0091152C">
      <w:pPr>
        <w:pStyle w:val="Paragrafoelenco"/>
        <w:numPr>
          <w:ilvl w:val="1"/>
          <w:numId w:val="5"/>
        </w:numPr>
        <w:tabs>
          <w:tab w:val="left" w:pos="661"/>
        </w:tabs>
        <w:ind w:right="216" w:hanging="286"/>
        <w:jc w:val="both"/>
        <w:rPr>
          <w:sz w:val="24"/>
        </w:rPr>
      </w:pPr>
      <w:r>
        <w:rPr>
          <w:color w:val="0000FF"/>
          <w:sz w:val="24"/>
        </w:rPr>
        <w:t>servizi di ristorazione svolti da qualsiasi esercizio, di cui all'articolo 4, per il consumo al tavolo, al chiuso;</w:t>
      </w:r>
    </w:p>
    <w:p w14:paraId="1DC43A16" w14:textId="77777777" w:rsidR="0091152C" w:rsidRDefault="0091152C" w:rsidP="0091152C">
      <w:pPr>
        <w:spacing w:before="1"/>
        <w:ind w:left="354"/>
        <w:jc w:val="both"/>
        <w:rPr>
          <w:i/>
          <w:sz w:val="24"/>
        </w:rPr>
      </w:pPr>
      <w:r>
        <w:rPr>
          <w:i/>
          <w:color w:val="FF0000"/>
          <w:sz w:val="24"/>
        </w:rPr>
        <w:t>a-bis) alberghi e strutture ricettive;</w:t>
      </w:r>
    </w:p>
    <w:p w14:paraId="0BF52C72" w14:textId="77777777" w:rsidR="0091152C" w:rsidRDefault="0091152C" w:rsidP="0091152C">
      <w:pPr>
        <w:pStyle w:val="Paragrafoelenco"/>
        <w:numPr>
          <w:ilvl w:val="1"/>
          <w:numId w:val="5"/>
        </w:numPr>
        <w:tabs>
          <w:tab w:val="left" w:pos="699"/>
        </w:tabs>
        <w:ind w:right="223" w:hanging="286"/>
        <w:jc w:val="both"/>
        <w:rPr>
          <w:sz w:val="24"/>
        </w:rPr>
      </w:pPr>
      <w:r>
        <w:tab/>
      </w:r>
      <w:r>
        <w:rPr>
          <w:color w:val="0000FF"/>
          <w:sz w:val="24"/>
        </w:rPr>
        <w:t>spettacoli aperti al pubblico, eventi e competizioni sportivi, nonché attività che abbiano luogo in sale da ballo, discoteche e locali assimilati, di cui all'articolo</w:t>
      </w:r>
      <w:r>
        <w:rPr>
          <w:color w:val="0000FF"/>
          <w:spacing w:val="-6"/>
          <w:sz w:val="24"/>
        </w:rPr>
        <w:t xml:space="preserve"> </w:t>
      </w:r>
      <w:r>
        <w:rPr>
          <w:color w:val="0000FF"/>
          <w:sz w:val="24"/>
        </w:rPr>
        <w:t>5;</w:t>
      </w:r>
    </w:p>
    <w:p w14:paraId="57B6CBB5" w14:textId="77777777" w:rsidR="0091152C" w:rsidRDefault="0091152C" w:rsidP="0091152C">
      <w:pPr>
        <w:pStyle w:val="Paragrafoelenco"/>
        <w:numPr>
          <w:ilvl w:val="1"/>
          <w:numId w:val="5"/>
        </w:numPr>
        <w:tabs>
          <w:tab w:val="left" w:pos="661"/>
        </w:tabs>
        <w:ind w:left="660" w:hanging="307"/>
        <w:jc w:val="both"/>
        <w:rPr>
          <w:sz w:val="24"/>
        </w:rPr>
      </w:pPr>
      <w:r>
        <w:rPr>
          <w:color w:val="0000FF"/>
          <w:sz w:val="24"/>
        </w:rPr>
        <w:t>musei, altri istituti e luoghi della cultura e mostre, di cui all'articolo</w:t>
      </w:r>
      <w:r>
        <w:rPr>
          <w:color w:val="0000FF"/>
          <w:spacing w:val="-4"/>
          <w:sz w:val="24"/>
        </w:rPr>
        <w:t xml:space="preserve"> </w:t>
      </w:r>
      <w:r>
        <w:rPr>
          <w:color w:val="0000FF"/>
          <w:sz w:val="24"/>
        </w:rPr>
        <w:t>5-bis;</w:t>
      </w:r>
    </w:p>
    <w:p w14:paraId="1AB1C4BC" w14:textId="77777777" w:rsidR="0091152C" w:rsidRDefault="0091152C" w:rsidP="0091152C">
      <w:pPr>
        <w:pStyle w:val="Paragrafoelenco"/>
        <w:numPr>
          <w:ilvl w:val="1"/>
          <w:numId w:val="5"/>
        </w:numPr>
        <w:tabs>
          <w:tab w:val="left" w:pos="679"/>
        </w:tabs>
        <w:ind w:right="210" w:hanging="286"/>
        <w:jc w:val="both"/>
        <w:rPr>
          <w:sz w:val="24"/>
        </w:rPr>
      </w:pPr>
      <w:r>
        <w:rPr>
          <w:color w:val="0000FF"/>
          <w:sz w:val="24"/>
        </w:rPr>
        <w:t xml:space="preserve">piscine, centri natatori, palestre, sport di squadra, centri benessere, anche all'interno di strutture ricettive, di cui all'articolo 6, limitatamente alle attività al chiuso, </w:t>
      </w:r>
      <w:r>
        <w:rPr>
          <w:i/>
          <w:color w:val="FF0000"/>
          <w:sz w:val="24"/>
        </w:rPr>
        <w:t>nonché spazi adibiti a spogliatoi e docce, con esclusione dell’obbligo di certificazione per gli accompagnatori delle persone non autosufficienti in ragione dell’età o di</w:t>
      </w:r>
      <w:r>
        <w:rPr>
          <w:i/>
          <w:color w:val="FF0000"/>
          <w:spacing w:val="-4"/>
          <w:sz w:val="24"/>
        </w:rPr>
        <w:t xml:space="preserve"> </w:t>
      </w:r>
      <w:r>
        <w:rPr>
          <w:i/>
          <w:color w:val="FF0000"/>
          <w:sz w:val="24"/>
        </w:rPr>
        <w:t>disabilità</w:t>
      </w:r>
      <w:r>
        <w:rPr>
          <w:color w:val="0000FF"/>
          <w:sz w:val="24"/>
        </w:rPr>
        <w:t>;</w:t>
      </w:r>
    </w:p>
    <w:p w14:paraId="30D51BF1" w14:textId="77777777" w:rsidR="0091152C" w:rsidRDefault="0091152C" w:rsidP="0091152C">
      <w:pPr>
        <w:pStyle w:val="Paragrafoelenco"/>
        <w:numPr>
          <w:ilvl w:val="1"/>
          <w:numId w:val="5"/>
        </w:numPr>
        <w:tabs>
          <w:tab w:val="left" w:pos="661"/>
        </w:tabs>
        <w:ind w:left="660" w:hanging="307"/>
        <w:jc w:val="both"/>
        <w:rPr>
          <w:sz w:val="24"/>
        </w:rPr>
      </w:pPr>
      <w:r>
        <w:rPr>
          <w:color w:val="0000FF"/>
          <w:sz w:val="24"/>
        </w:rPr>
        <w:t>sagre e fiere, convegni e congressi di cui all'articolo</w:t>
      </w:r>
      <w:r>
        <w:rPr>
          <w:color w:val="0000FF"/>
          <w:spacing w:val="-1"/>
          <w:sz w:val="24"/>
        </w:rPr>
        <w:t xml:space="preserve"> </w:t>
      </w:r>
      <w:r>
        <w:rPr>
          <w:color w:val="0000FF"/>
          <w:sz w:val="24"/>
        </w:rPr>
        <w:t>7;</w:t>
      </w:r>
    </w:p>
    <w:p w14:paraId="7A9DB680" w14:textId="77777777" w:rsidR="0091152C" w:rsidRDefault="0091152C" w:rsidP="0091152C">
      <w:pPr>
        <w:pStyle w:val="Paragrafoelenco"/>
        <w:numPr>
          <w:ilvl w:val="1"/>
          <w:numId w:val="5"/>
        </w:numPr>
        <w:tabs>
          <w:tab w:val="left" w:pos="662"/>
        </w:tabs>
        <w:ind w:right="215" w:hanging="286"/>
        <w:jc w:val="both"/>
        <w:rPr>
          <w:sz w:val="24"/>
        </w:rPr>
      </w:pPr>
      <w:r>
        <w:rPr>
          <w:color w:val="0000FF"/>
          <w:sz w:val="24"/>
        </w:rPr>
        <w:t>centri termali, salvo che per gli accessi necessari all’erogazione delle prestazioni rientranti nei livelli essenziali di assistenza e allo svolgimento di attività riabilitative o terapeutiche, parchi tematici e di</w:t>
      </w:r>
      <w:r>
        <w:rPr>
          <w:color w:val="0000FF"/>
          <w:spacing w:val="-1"/>
          <w:sz w:val="24"/>
        </w:rPr>
        <w:t xml:space="preserve"> </w:t>
      </w:r>
      <w:r>
        <w:rPr>
          <w:color w:val="0000FF"/>
          <w:sz w:val="24"/>
        </w:rPr>
        <w:t>divertimento;</w:t>
      </w:r>
    </w:p>
    <w:p w14:paraId="0F6F576C" w14:textId="77777777" w:rsidR="0091152C" w:rsidRDefault="0091152C" w:rsidP="0091152C">
      <w:pPr>
        <w:pStyle w:val="Paragrafoelenco"/>
        <w:numPr>
          <w:ilvl w:val="1"/>
          <w:numId w:val="5"/>
        </w:numPr>
        <w:tabs>
          <w:tab w:val="left" w:pos="700"/>
        </w:tabs>
        <w:ind w:right="209" w:hanging="286"/>
        <w:jc w:val="both"/>
        <w:rPr>
          <w:sz w:val="24"/>
        </w:rPr>
      </w:pPr>
      <w:r>
        <w:tab/>
      </w:r>
      <w:r>
        <w:rPr>
          <w:color w:val="0000FF"/>
          <w:sz w:val="24"/>
        </w:rPr>
        <w:t>centri culturali, centri sociali e ricreativi, di cui all'articolo 8-bis, comma 1, limitatamente alle attività al chiuso e con esclusione dei centri educativi per l'infanzia, compresi i centri estivi, e le relative attività di</w:t>
      </w:r>
      <w:r>
        <w:rPr>
          <w:color w:val="0000FF"/>
          <w:spacing w:val="-1"/>
          <w:sz w:val="24"/>
        </w:rPr>
        <w:t xml:space="preserve"> </w:t>
      </w:r>
      <w:r>
        <w:rPr>
          <w:color w:val="0000FF"/>
          <w:sz w:val="24"/>
        </w:rPr>
        <w:t>ristorazione;</w:t>
      </w:r>
    </w:p>
    <w:p w14:paraId="3D7974B8" w14:textId="77777777" w:rsidR="0091152C" w:rsidRDefault="0091152C" w:rsidP="0091152C">
      <w:pPr>
        <w:pStyle w:val="Corpotesto"/>
        <w:spacing w:before="1"/>
        <w:ind w:left="354"/>
        <w:jc w:val="both"/>
      </w:pPr>
      <w:r>
        <w:rPr>
          <w:color w:val="0000FF"/>
        </w:rPr>
        <w:t>g-bis) feste conseguenti alle cerimonie civili o religiose, di cui all’articolo 8-bis, comma 2;</w:t>
      </w:r>
    </w:p>
    <w:p w14:paraId="777F904E" w14:textId="77777777" w:rsidR="0091152C" w:rsidRDefault="0091152C" w:rsidP="0091152C">
      <w:pPr>
        <w:pStyle w:val="Paragrafoelenco"/>
        <w:numPr>
          <w:ilvl w:val="1"/>
          <w:numId w:val="5"/>
        </w:numPr>
        <w:tabs>
          <w:tab w:val="left" w:pos="675"/>
        </w:tabs>
        <w:ind w:left="674" w:hanging="321"/>
        <w:jc w:val="both"/>
        <w:rPr>
          <w:sz w:val="24"/>
        </w:rPr>
      </w:pPr>
      <w:r>
        <w:rPr>
          <w:color w:val="0000FF"/>
          <w:sz w:val="24"/>
        </w:rPr>
        <w:t>attività di sale gioco, sale scommesse, sale bingo e casinò, di cui all'articolo</w:t>
      </w:r>
      <w:r>
        <w:rPr>
          <w:color w:val="0000FF"/>
          <w:spacing w:val="-5"/>
          <w:sz w:val="24"/>
        </w:rPr>
        <w:t xml:space="preserve"> </w:t>
      </w:r>
      <w:r>
        <w:rPr>
          <w:color w:val="0000FF"/>
          <w:sz w:val="24"/>
        </w:rPr>
        <w:t>8-ter;</w:t>
      </w:r>
    </w:p>
    <w:p w14:paraId="73CFFBE4" w14:textId="77777777" w:rsidR="0091152C" w:rsidRDefault="0091152C" w:rsidP="0091152C">
      <w:pPr>
        <w:pStyle w:val="Paragrafoelenco"/>
        <w:numPr>
          <w:ilvl w:val="1"/>
          <w:numId w:val="5"/>
        </w:numPr>
        <w:tabs>
          <w:tab w:val="left" w:pos="622"/>
        </w:tabs>
        <w:ind w:left="621" w:hanging="268"/>
        <w:jc w:val="both"/>
        <w:rPr>
          <w:sz w:val="24"/>
        </w:rPr>
      </w:pPr>
      <w:r>
        <w:rPr>
          <w:color w:val="0000FF"/>
          <w:sz w:val="24"/>
        </w:rPr>
        <w:t>concorsi</w:t>
      </w:r>
      <w:r>
        <w:rPr>
          <w:color w:val="0000FF"/>
          <w:spacing w:val="-1"/>
          <w:sz w:val="24"/>
        </w:rPr>
        <w:t xml:space="preserve"> </w:t>
      </w:r>
      <w:r>
        <w:rPr>
          <w:color w:val="0000FF"/>
          <w:sz w:val="24"/>
        </w:rPr>
        <w:t>pubblici.</w:t>
      </w:r>
    </w:p>
    <w:p w14:paraId="0CFF47E7" w14:textId="77777777" w:rsidR="0091152C" w:rsidRDefault="0091152C" w:rsidP="0091152C">
      <w:pPr>
        <w:pStyle w:val="Corpotesto"/>
        <w:spacing w:before="11"/>
        <w:rPr>
          <w:sz w:val="23"/>
        </w:rPr>
      </w:pPr>
    </w:p>
    <w:p w14:paraId="0C3076EB" w14:textId="77777777" w:rsidR="0091152C" w:rsidRDefault="0091152C" w:rsidP="0091152C">
      <w:pPr>
        <w:pStyle w:val="Titolo1"/>
      </w:pPr>
    </w:p>
    <w:p w14:paraId="387615F3" w14:textId="529DD63B" w:rsidR="0091152C" w:rsidRDefault="0091152C" w:rsidP="0091152C">
      <w:pPr>
        <w:pStyle w:val="Titolo1"/>
      </w:pPr>
      <w:r>
        <w:lastRenderedPageBreak/>
        <w:t>Commento:</w:t>
      </w:r>
    </w:p>
    <w:p w14:paraId="2534EB7D" w14:textId="77777777" w:rsidR="0091152C" w:rsidRDefault="0091152C" w:rsidP="0091152C">
      <w:pPr>
        <w:pStyle w:val="Corpotesto"/>
        <w:spacing w:before="2"/>
        <w:rPr>
          <w:b/>
          <w:sz w:val="16"/>
        </w:rPr>
      </w:pPr>
    </w:p>
    <w:p w14:paraId="7A3AD693" w14:textId="77777777" w:rsidR="0091152C" w:rsidRDefault="0091152C" w:rsidP="0091152C">
      <w:pPr>
        <w:spacing w:before="90"/>
        <w:ind w:left="213" w:right="211"/>
        <w:jc w:val="both"/>
        <w:rPr>
          <w:b/>
          <w:sz w:val="24"/>
        </w:rPr>
      </w:pPr>
      <w:r>
        <w:rPr>
          <w:b/>
          <w:sz w:val="24"/>
        </w:rPr>
        <w:t xml:space="preserve">Il </w:t>
      </w:r>
      <w:r>
        <w:rPr>
          <w:b/>
          <w:color w:val="006600"/>
          <w:sz w:val="24"/>
          <w:shd w:val="clear" w:color="auto" w:fill="FFFF00"/>
        </w:rPr>
        <w:t>green pass base</w:t>
      </w:r>
      <w:r>
        <w:rPr>
          <w:b/>
          <w:sz w:val="24"/>
        </w:rPr>
        <w:t>, dall’entrata in vigore della norma, è richiesto, in zona bianca, per l’accesso a tutti i servizi e le attività sopra elencati. Fra questi rientreranno anche</w:t>
      </w:r>
    </w:p>
    <w:p w14:paraId="3E46C023" w14:textId="77777777" w:rsidR="0091152C" w:rsidRDefault="0091152C" w:rsidP="0091152C">
      <w:pPr>
        <w:pStyle w:val="Paragrafoelenco"/>
        <w:numPr>
          <w:ilvl w:val="2"/>
          <w:numId w:val="5"/>
        </w:numPr>
        <w:tabs>
          <w:tab w:val="left" w:pos="922"/>
        </w:tabs>
        <w:spacing w:before="1"/>
        <w:ind w:left="921" w:hanging="349"/>
        <w:rPr>
          <w:sz w:val="24"/>
        </w:rPr>
      </w:pPr>
      <w:r>
        <w:rPr>
          <w:sz w:val="24"/>
          <w:u w:val="single"/>
        </w:rPr>
        <w:t>alberghi e strutture</w:t>
      </w:r>
      <w:r>
        <w:rPr>
          <w:spacing w:val="-1"/>
          <w:sz w:val="24"/>
          <w:u w:val="single"/>
        </w:rPr>
        <w:t xml:space="preserve"> </w:t>
      </w:r>
      <w:r>
        <w:rPr>
          <w:sz w:val="24"/>
          <w:u w:val="single"/>
        </w:rPr>
        <w:t>ricettive</w:t>
      </w:r>
      <w:r>
        <w:rPr>
          <w:sz w:val="24"/>
        </w:rPr>
        <w:t>;</w:t>
      </w:r>
    </w:p>
    <w:p w14:paraId="3B45C692" w14:textId="77777777" w:rsidR="0091152C" w:rsidRDefault="0091152C" w:rsidP="0091152C">
      <w:pPr>
        <w:pStyle w:val="Paragrafoelenco"/>
        <w:numPr>
          <w:ilvl w:val="2"/>
          <w:numId w:val="5"/>
        </w:numPr>
        <w:tabs>
          <w:tab w:val="left" w:pos="922"/>
        </w:tabs>
        <w:spacing w:before="21" w:line="259" w:lineRule="auto"/>
        <w:ind w:right="212" w:hanging="360"/>
        <w:rPr>
          <w:sz w:val="24"/>
        </w:rPr>
      </w:pPr>
      <w:r>
        <w:rPr>
          <w:spacing w:val="-60"/>
          <w:sz w:val="24"/>
          <w:u w:val="single"/>
        </w:rPr>
        <w:t xml:space="preserve"> </w:t>
      </w:r>
      <w:r>
        <w:rPr>
          <w:sz w:val="24"/>
          <w:u w:val="single"/>
        </w:rPr>
        <w:t>servizi di ristorazione all’interno di alberghi e di altre strutture ricettive riservati esclusivamente ai clienti ivi alloggiati</w:t>
      </w:r>
      <w:r>
        <w:rPr>
          <w:sz w:val="24"/>
        </w:rPr>
        <w:t>, che in precedenza erano esclusi</w:t>
      </w:r>
      <w:r>
        <w:rPr>
          <w:spacing w:val="-4"/>
          <w:sz w:val="24"/>
        </w:rPr>
        <w:t xml:space="preserve"> </w:t>
      </w:r>
      <w:r>
        <w:rPr>
          <w:sz w:val="24"/>
        </w:rPr>
        <w:t>dall’obbligo;</w:t>
      </w:r>
    </w:p>
    <w:p w14:paraId="7EDFB04B" w14:textId="77777777" w:rsidR="0091152C" w:rsidRDefault="0091152C" w:rsidP="0091152C">
      <w:pPr>
        <w:pStyle w:val="Paragrafoelenco"/>
        <w:numPr>
          <w:ilvl w:val="2"/>
          <w:numId w:val="5"/>
        </w:numPr>
        <w:tabs>
          <w:tab w:val="left" w:pos="922"/>
        </w:tabs>
        <w:spacing w:before="2" w:line="259" w:lineRule="auto"/>
        <w:ind w:right="213" w:hanging="360"/>
        <w:rPr>
          <w:sz w:val="24"/>
        </w:rPr>
      </w:pPr>
      <w:r>
        <w:rPr>
          <w:sz w:val="24"/>
          <w:u w:val="single"/>
        </w:rPr>
        <w:t>spazi adibiti a spogliatoi e docce delle attività di piscine, centri natatori, palestre, sport di squadra, centri benessere</w:t>
      </w:r>
      <w:r>
        <w:rPr>
          <w:sz w:val="24"/>
        </w:rPr>
        <w:t xml:space="preserve">, anche all'interno di strutture ricettive, </w:t>
      </w:r>
      <w:r>
        <w:rPr>
          <w:sz w:val="24"/>
          <w:u w:val="single"/>
        </w:rPr>
        <w:t>indifferentemente dal fatto se le attività siano svolte al chiuso o all’aperto</w:t>
      </w:r>
      <w:r>
        <w:rPr>
          <w:sz w:val="24"/>
        </w:rPr>
        <w:t>, con esclusione dell’obbligo di certificazione per gli accompagnatori delle persone non autosufficienti in ragione dell’età o di</w:t>
      </w:r>
      <w:r>
        <w:rPr>
          <w:spacing w:val="-8"/>
          <w:sz w:val="24"/>
        </w:rPr>
        <w:t xml:space="preserve"> </w:t>
      </w:r>
      <w:r>
        <w:rPr>
          <w:sz w:val="24"/>
        </w:rPr>
        <w:t>disabilità.</w:t>
      </w:r>
    </w:p>
    <w:p w14:paraId="667B249B" w14:textId="77777777" w:rsidR="0091152C" w:rsidRDefault="0091152C" w:rsidP="0091152C">
      <w:pPr>
        <w:pStyle w:val="Corpotesto"/>
        <w:spacing w:before="9"/>
        <w:rPr>
          <w:sz w:val="23"/>
        </w:rPr>
      </w:pPr>
    </w:p>
    <w:p w14:paraId="1D3835C9" w14:textId="77777777" w:rsidR="0091152C" w:rsidRDefault="0091152C" w:rsidP="0091152C">
      <w:pPr>
        <w:spacing w:before="1"/>
        <w:ind w:left="213" w:right="212"/>
        <w:jc w:val="both"/>
        <w:rPr>
          <w:b/>
          <w:sz w:val="24"/>
        </w:rPr>
      </w:pPr>
      <w:r>
        <w:rPr>
          <w:b/>
          <w:sz w:val="24"/>
        </w:rPr>
        <w:t>In zona gialla</w:t>
      </w:r>
      <w:r>
        <w:rPr>
          <w:sz w:val="24"/>
        </w:rPr>
        <w:t xml:space="preserve">, dove, nel rispetto delle linee guida, è consentito, se non diversamente stabilito dalle linee guida, lo svolgimento all'aperto di qualsiasi attività sportiva anche di squadra e di contatto (anche in piscine, centri natatori, palestre), </w:t>
      </w:r>
      <w:r>
        <w:rPr>
          <w:b/>
          <w:sz w:val="24"/>
        </w:rPr>
        <w:t>cessa di essere interdetto l’uso degli spogliatoi, dal momento che per l’accesso agli stessi è richiesto, già dalla zona bianca, il possesso del green pass base.</w:t>
      </w:r>
    </w:p>
    <w:p w14:paraId="6037D780" w14:textId="77777777" w:rsidR="0091152C" w:rsidRDefault="0091152C" w:rsidP="0091152C">
      <w:pPr>
        <w:jc w:val="both"/>
        <w:rPr>
          <w:sz w:val="24"/>
        </w:rPr>
      </w:pPr>
    </w:p>
    <w:p w14:paraId="6ABB1602" w14:textId="77777777" w:rsidR="0091152C" w:rsidRDefault="0091152C" w:rsidP="0091152C">
      <w:pPr>
        <w:jc w:val="both"/>
        <w:rPr>
          <w:sz w:val="24"/>
        </w:rPr>
      </w:pPr>
    </w:p>
    <w:p w14:paraId="3E07E2CA" w14:textId="77777777" w:rsidR="0091152C" w:rsidRDefault="0091152C" w:rsidP="0091152C">
      <w:pPr>
        <w:jc w:val="both"/>
        <w:rPr>
          <w:sz w:val="24"/>
        </w:rPr>
      </w:pPr>
    </w:p>
    <w:p w14:paraId="2DA0F3B8" w14:textId="77777777" w:rsidR="0091152C" w:rsidRDefault="0091152C" w:rsidP="0091152C">
      <w:pPr>
        <w:pStyle w:val="Titolo1"/>
        <w:spacing w:before="60"/>
      </w:pPr>
      <w:r>
        <w:t>Trasporti</w:t>
      </w:r>
    </w:p>
    <w:p w14:paraId="12B2B2B6" w14:textId="77777777" w:rsidR="0091152C" w:rsidRDefault="0091152C" w:rsidP="0091152C">
      <w:pPr>
        <w:pStyle w:val="Corpotesto"/>
        <w:spacing w:before="1"/>
        <w:rPr>
          <w:b/>
        </w:rPr>
      </w:pPr>
    </w:p>
    <w:p w14:paraId="6C7EB3ED" w14:textId="77777777" w:rsidR="0091152C" w:rsidRDefault="0091152C" w:rsidP="0091152C">
      <w:pPr>
        <w:ind w:left="213"/>
        <w:rPr>
          <w:b/>
          <w:sz w:val="24"/>
        </w:rPr>
      </w:pPr>
      <w:r>
        <w:rPr>
          <w:b/>
          <w:color w:val="0000FF"/>
          <w:sz w:val="24"/>
        </w:rPr>
        <w:t>L’art. 9-quater, sull’impiego delle certificazioni verdi COVID-19 nei mezzi di trasporto, è così modificato:</w:t>
      </w:r>
    </w:p>
    <w:p w14:paraId="53C973B2" w14:textId="77777777" w:rsidR="0091152C" w:rsidRDefault="0091152C" w:rsidP="0091152C">
      <w:pPr>
        <w:pStyle w:val="Corpotesto"/>
        <w:rPr>
          <w:b/>
        </w:rPr>
      </w:pPr>
    </w:p>
    <w:p w14:paraId="72686361" w14:textId="77777777" w:rsidR="0091152C" w:rsidRDefault="0091152C" w:rsidP="0091152C">
      <w:pPr>
        <w:pStyle w:val="Paragrafoelenco"/>
        <w:numPr>
          <w:ilvl w:val="0"/>
          <w:numId w:val="4"/>
        </w:numPr>
        <w:tabs>
          <w:tab w:val="left" w:pos="499"/>
        </w:tabs>
        <w:ind w:right="214" w:firstLine="0"/>
        <w:jc w:val="both"/>
        <w:rPr>
          <w:sz w:val="24"/>
        </w:rPr>
      </w:pPr>
      <w:r>
        <w:rPr>
          <w:color w:val="0000FF"/>
          <w:sz w:val="24"/>
        </w:rPr>
        <w:t>(…) fino al 31 dicembre 2021, termine di cessazione dello stato di emergenza, è consentito esclusivamente ai soggetti muniti di una delle certificazioni verdi COVID-19, di cui all'articolo 9, comma 2, l'accesso ai seguenti mezzi di trasporto e il loro</w:t>
      </w:r>
      <w:r>
        <w:rPr>
          <w:color w:val="0000FF"/>
          <w:spacing w:val="-2"/>
          <w:sz w:val="24"/>
        </w:rPr>
        <w:t xml:space="preserve"> </w:t>
      </w:r>
      <w:r>
        <w:rPr>
          <w:color w:val="0000FF"/>
          <w:sz w:val="24"/>
        </w:rPr>
        <w:t>utilizzo:</w:t>
      </w:r>
    </w:p>
    <w:p w14:paraId="29B979C6" w14:textId="77777777" w:rsidR="0091152C" w:rsidRDefault="0091152C" w:rsidP="0091152C">
      <w:pPr>
        <w:pStyle w:val="Paragrafoelenco"/>
        <w:numPr>
          <w:ilvl w:val="1"/>
          <w:numId w:val="4"/>
        </w:numPr>
        <w:tabs>
          <w:tab w:val="left" w:pos="661"/>
        </w:tabs>
        <w:spacing w:line="274" w:lineRule="exact"/>
        <w:ind w:hanging="307"/>
        <w:jc w:val="both"/>
        <w:rPr>
          <w:sz w:val="24"/>
        </w:rPr>
      </w:pPr>
      <w:r>
        <w:rPr>
          <w:color w:val="0000FF"/>
          <w:sz w:val="24"/>
        </w:rPr>
        <w:t>aeromobili adibiti a servizi commerciali di trasporto di</w:t>
      </w:r>
      <w:r>
        <w:rPr>
          <w:color w:val="0000FF"/>
          <w:spacing w:val="-2"/>
          <w:sz w:val="24"/>
        </w:rPr>
        <w:t xml:space="preserve"> </w:t>
      </w:r>
      <w:r>
        <w:rPr>
          <w:color w:val="0000FF"/>
          <w:sz w:val="24"/>
        </w:rPr>
        <w:t>persone;</w:t>
      </w:r>
    </w:p>
    <w:p w14:paraId="4B816C62" w14:textId="77777777" w:rsidR="0091152C" w:rsidRDefault="0091152C" w:rsidP="0091152C">
      <w:pPr>
        <w:pStyle w:val="Paragrafoelenco"/>
        <w:numPr>
          <w:ilvl w:val="1"/>
          <w:numId w:val="4"/>
        </w:numPr>
        <w:tabs>
          <w:tab w:val="left" w:pos="799"/>
        </w:tabs>
        <w:ind w:left="640" w:right="216" w:hanging="286"/>
        <w:jc w:val="both"/>
        <w:rPr>
          <w:sz w:val="24"/>
        </w:rPr>
      </w:pPr>
      <w:r>
        <w:tab/>
      </w:r>
      <w:r>
        <w:rPr>
          <w:color w:val="0000FF"/>
          <w:sz w:val="24"/>
        </w:rPr>
        <w:t>navi e traghetti adibiti a servizi di trasporto interregionale, ad esclusione di quelli impiegati per i collegamenti marittimi nello Stretto di Messina e di quelli impiegati nei collegamenti marittimi da e per l’arcipelago delle Isole</w:t>
      </w:r>
      <w:r>
        <w:rPr>
          <w:color w:val="0000FF"/>
          <w:spacing w:val="-4"/>
          <w:sz w:val="24"/>
        </w:rPr>
        <w:t xml:space="preserve"> </w:t>
      </w:r>
      <w:r>
        <w:rPr>
          <w:color w:val="0000FF"/>
          <w:sz w:val="24"/>
        </w:rPr>
        <w:t>Tremiti;</w:t>
      </w:r>
    </w:p>
    <w:p w14:paraId="3F27C212" w14:textId="77777777" w:rsidR="0091152C" w:rsidRDefault="0091152C" w:rsidP="0091152C">
      <w:pPr>
        <w:pStyle w:val="Paragrafoelenco"/>
        <w:numPr>
          <w:ilvl w:val="1"/>
          <w:numId w:val="4"/>
        </w:numPr>
        <w:tabs>
          <w:tab w:val="left" w:pos="698"/>
        </w:tabs>
        <w:spacing w:before="1"/>
        <w:ind w:left="640" w:right="216" w:hanging="286"/>
        <w:jc w:val="both"/>
        <w:rPr>
          <w:sz w:val="24"/>
        </w:rPr>
      </w:pPr>
      <w:r>
        <w:tab/>
      </w:r>
      <w:r>
        <w:rPr>
          <w:color w:val="0000FF"/>
          <w:sz w:val="24"/>
        </w:rPr>
        <w:t xml:space="preserve">treni impiegati nei servizi di trasporto ferroviario passeggeri di tipo </w:t>
      </w:r>
      <w:r>
        <w:rPr>
          <w:i/>
          <w:color w:val="FF0000"/>
          <w:sz w:val="24"/>
        </w:rPr>
        <w:t>regionale, a eccezione di quelli espletati esclusivamente all’interno del medesimo territorio comunale o della città metropolitana, interregionale</w:t>
      </w:r>
      <w:r>
        <w:rPr>
          <w:color w:val="0000FF"/>
          <w:sz w:val="24"/>
        </w:rPr>
        <w:t>, Intercity, Intercity Notte e Alta</w:t>
      </w:r>
      <w:r>
        <w:rPr>
          <w:color w:val="0000FF"/>
          <w:spacing w:val="-1"/>
          <w:sz w:val="24"/>
        </w:rPr>
        <w:t xml:space="preserve"> </w:t>
      </w:r>
      <w:r>
        <w:rPr>
          <w:color w:val="0000FF"/>
          <w:sz w:val="24"/>
        </w:rPr>
        <w:t>Velocità;</w:t>
      </w:r>
    </w:p>
    <w:p w14:paraId="734CF78A" w14:textId="77777777" w:rsidR="0091152C" w:rsidRDefault="0091152C" w:rsidP="0091152C">
      <w:pPr>
        <w:pStyle w:val="Paragrafoelenco"/>
        <w:numPr>
          <w:ilvl w:val="1"/>
          <w:numId w:val="4"/>
        </w:numPr>
        <w:tabs>
          <w:tab w:val="left" w:pos="777"/>
        </w:tabs>
        <w:ind w:left="640" w:right="215" w:hanging="286"/>
        <w:jc w:val="both"/>
        <w:rPr>
          <w:sz w:val="24"/>
        </w:rPr>
      </w:pPr>
      <w:r>
        <w:tab/>
      </w:r>
      <w:r>
        <w:rPr>
          <w:color w:val="0000FF"/>
          <w:sz w:val="24"/>
        </w:rPr>
        <w:t>autobus adibiti a servizi di trasporto di persone, ad offerta indifferenziata, effettuati su strada in modo continuativo o periodico su un percorso che collega più di due regioni ed aventi itinerari, orari, frequenze e prezzi</w:t>
      </w:r>
      <w:r>
        <w:rPr>
          <w:color w:val="0000FF"/>
          <w:spacing w:val="-1"/>
          <w:sz w:val="24"/>
        </w:rPr>
        <w:t xml:space="preserve"> </w:t>
      </w:r>
      <w:r>
        <w:rPr>
          <w:color w:val="0000FF"/>
          <w:sz w:val="24"/>
        </w:rPr>
        <w:t>prestabiliti;</w:t>
      </w:r>
    </w:p>
    <w:p w14:paraId="6AC16284" w14:textId="77777777" w:rsidR="0091152C" w:rsidRDefault="0091152C" w:rsidP="0091152C">
      <w:pPr>
        <w:pStyle w:val="Paragrafoelenco"/>
        <w:numPr>
          <w:ilvl w:val="1"/>
          <w:numId w:val="4"/>
        </w:numPr>
        <w:tabs>
          <w:tab w:val="left" w:pos="741"/>
        </w:tabs>
        <w:ind w:left="640" w:right="214" w:hanging="286"/>
        <w:jc w:val="both"/>
        <w:rPr>
          <w:sz w:val="24"/>
        </w:rPr>
      </w:pPr>
      <w:r>
        <w:tab/>
      </w:r>
      <w:r>
        <w:rPr>
          <w:color w:val="0000FF"/>
          <w:sz w:val="24"/>
        </w:rPr>
        <w:t>autobus adibiti a servizi di noleggio con conducente, ad esclusione di quelli impiegati nei servizi aggiuntivi di trasporto pubblico locale e</w:t>
      </w:r>
      <w:r>
        <w:rPr>
          <w:color w:val="0000FF"/>
          <w:spacing w:val="-1"/>
          <w:sz w:val="24"/>
        </w:rPr>
        <w:t xml:space="preserve"> </w:t>
      </w:r>
      <w:r>
        <w:rPr>
          <w:color w:val="0000FF"/>
          <w:sz w:val="24"/>
        </w:rPr>
        <w:t>regionale;</w:t>
      </w:r>
    </w:p>
    <w:p w14:paraId="17ED45AF" w14:textId="77777777" w:rsidR="0091152C" w:rsidRDefault="0091152C" w:rsidP="0091152C">
      <w:pPr>
        <w:pStyle w:val="Corpotesto"/>
        <w:ind w:left="640" w:right="212" w:hanging="286"/>
        <w:jc w:val="both"/>
      </w:pPr>
      <w:r>
        <w:rPr>
          <w:color w:val="0000FF"/>
        </w:rPr>
        <w:t xml:space="preserve">e-bis) funivie, cabinovie e seggiovie, qualora utilizzate con la chiusura delle cupole </w:t>
      </w:r>
      <w:proofErr w:type="gramStart"/>
      <w:r>
        <w:rPr>
          <w:color w:val="0000FF"/>
        </w:rPr>
        <w:t>paravento,  con</w:t>
      </w:r>
      <w:proofErr w:type="gramEnd"/>
      <w:r>
        <w:rPr>
          <w:color w:val="0000FF"/>
        </w:rPr>
        <w:t xml:space="preserve"> finalità turistico-commerciale e anche ove ubicate in comprensori sciistici, senza limitazioni alla vendita dei titoli di</w:t>
      </w:r>
      <w:r>
        <w:rPr>
          <w:color w:val="0000FF"/>
          <w:spacing w:val="-3"/>
        </w:rPr>
        <w:t xml:space="preserve"> </w:t>
      </w:r>
      <w:r>
        <w:rPr>
          <w:color w:val="0000FF"/>
        </w:rPr>
        <w:t>viaggio.</w:t>
      </w:r>
    </w:p>
    <w:p w14:paraId="04971B5A" w14:textId="77777777" w:rsidR="0091152C" w:rsidRDefault="0091152C" w:rsidP="0091152C">
      <w:pPr>
        <w:pStyle w:val="Corpotesto"/>
      </w:pPr>
    </w:p>
    <w:p w14:paraId="3400F7D4" w14:textId="77777777" w:rsidR="0091152C" w:rsidRDefault="0091152C" w:rsidP="0091152C">
      <w:pPr>
        <w:ind w:left="213" w:right="209"/>
        <w:jc w:val="both"/>
        <w:rPr>
          <w:i/>
          <w:sz w:val="24"/>
        </w:rPr>
      </w:pPr>
      <w:r>
        <w:rPr>
          <w:color w:val="0000FF"/>
          <w:sz w:val="24"/>
        </w:rPr>
        <w:t xml:space="preserve">3. I vettori aerei, marittimi e terrestri, nonché i loro delegati, sono tenuti a verificare che l'utilizzo dei servizi di cui al comma 1 avvenga nel rispetto delle prescrizioni di cui al medesimo comma 1. Le verifiche delle certificazioni verdi COVID-19 sono effettuate con le modalità indicate dal decreto del Presidente del Consiglio dei ministri adottato ai sensi dell'articolo 9, comma 10. </w:t>
      </w:r>
      <w:r>
        <w:rPr>
          <w:i/>
          <w:color w:val="FF0000"/>
          <w:sz w:val="24"/>
        </w:rPr>
        <w:t xml:space="preserve">Per il trasporto ferroviario regionale le </w:t>
      </w:r>
      <w:proofErr w:type="gramStart"/>
      <w:r>
        <w:rPr>
          <w:i/>
          <w:color w:val="FF0000"/>
          <w:sz w:val="24"/>
        </w:rPr>
        <w:t>predette</w:t>
      </w:r>
      <w:proofErr w:type="gramEnd"/>
      <w:r>
        <w:rPr>
          <w:i/>
          <w:color w:val="FF0000"/>
          <w:sz w:val="24"/>
        </w:rPr>
        <w:t xml:space="preserve"> verifiche possono essere svolte secondo modalità a campione.</w:t>
      </w:r>
    </w:p>
    <w:p w14:paraId="24305955" w14:textId="77777777" w:rsidR="0091152C" w:rsidRDefault="0091152C" w:rsidP="0091152C">
      <w:pPr>
        <w:pStyle w:val="Corpotesto"/>
        <w:rPr>
          <w:i/>
        </w:rPr>
      </w:pPr>
    </w:p>
    <w:p w14:paraId="0D811E6F" w14:textId="77777777" w:rsidR="0091152C" w:rsidRDefault="0091152C" w:rsidP="0091152C">
      <w:pPr>
        <w:pStyle w:val="Titolo1"/>
      </w:pPr>
    </w:p>
    <w:p w14:paraId="6DDFD922" w14:textId="64077785" w:rsidR="0091152C" w:rsidRDefault="0091152C" w:rsidP="0091152C">
      <w:pPr>
        <w:pStyle w:val="Titolo1"/>
      </w:pPr>
      <w:r>
        <w:lastRenderedPageBreak/>
        <w:t>Commento:</w:t>
      </w:r>
    </w:p>
    <w:p w14:paraId="3F99E397" w14:textId="77777777" w:rsidR="0091152C" w:rsidRDefault="0091152C" w:rsidP="0091152C">
      <w:pPr>
        <w:pStyle w:val="Corpotesto"/>
        <w:spacing w:before="3"/>
        <w:rPr>
          <w:b/>
          <w:sz w:val="16"/>
        </w:rPr>
      </w:pPr>
    </w:p>
    <w:p w14:paraId="0DBCE39D" w14:textId="77777777" w:rsidR="0091152C" w:rsidRDefault="0091152C" w:rsidP="0091152C">
      <w:pPr>
        <w:spacing w:before="90"/>
        <w:ind w:left="213"/>
        <w:rPr>
          <w:b/>
          <w:sz w:val="24"/>
        </w:rPr>
      </w:pPr>
      <w:r>
        <w:rPr>
          <w:b/>
          <w:sz w:val="24"/>
        </w:rPr>
        <w:t xml:space="preserve">L’obbligo del </w:t>
      </w:r>
      <w:r>
        <w:rPr>
          <w:b/>
          <w:color w:val="006600"/>
          <w:sz w:val="24"/>
          <w:shd w:val="clear" w:color="auto" w:fill="FFFF00"/>
        </w:rPr>
        <w:t>green pass base</w:t>
      </w:r>
      <w:r>
        <w:rPr>
          <w:b/>
          <w:color w:val="006600"/>
          <w:sz w:val="24"/>
        </w:rPr>
        <w:t xml:space="preserve"> </w:t>
      </w:r>
      <w:r>
        <w:rPr>
          <w:b/>
          <w:sz w:val="24"/>
        </w:rPr>
        <w:t xml:space="preserve">è esteso ai treni di tipo regionale, </w:t>
      </w:r>
      <w:r>
        <w:rPr>
          <w:b/>
          <w:sz w:val="24"/>
          <w:u w:val="thick"/>
        </w:rPr>
        <w:t>ad eccezione dei servizi</w:t>
      </w:r>
    </w:p>
    <w:p w14:paraId="2274A3A7" w14:textId="77777777" w:rsidR="0091152C" w:rsidRDefault="0091152C" w:rsidP="0091152C">
      <w:pPr>
        <w:tabs>
          <w:tab w:val="left" w:pos="1268"/>
          <w:tab w:val="left" w:pos="3002"/>
          <w:tab w:val="left" w:pos="4285"/>
          <w:tab w:val="left" w:pos="4794"/>
          <w:tab w:val="left" w:pos="6028"/>
          <w:tab w:val="left" w:pos="7187"/>
          <w:tab w:val="left" w:pos="8379"/>
          <w:tab w:val="left" w:pos="8700"/>
          <w:tab w:val="left" w:pos="9398"/>
        </w:tabs>
        <w:ind w:left="213" w:right="214"/>
        <w:rPr>
          <w:b/>
          <w:sz w:val="24"/>
        </w:rPr>
      </w:pPr>
      <w:r>
        <w:rPr>
          <w:spacing w:val="-60"/>
          <w:sz w:val="24"/>
          <w:u w:val="thick"/>
        </w:rPr>
        <w:t xml:space="preserve"> </w:t>
      </w:r>
      <w:r>
        <w:rPr>
          <w:b/>
          <w:sz w:val="24"/>
          <w:u w:val="thick"/>
        </w:rPr>
        <w:t>espletati</w:t>
      </w:r>
      <w:r>
        <w:rPr>
          <w:b/>
          <w:sz w:val="24"/>
          <w:u w:val="thick"/>
        </w:rPr>
        <w:tab/>
        <w:t>esclusivamente</w:t>
      </w:r>
      <w:r>
        <w:rPr>
          <w:b/>
          <w:sz w:val="24"/>
          <w:u w:val="thick"/>
        </w:rPr>
        <w:tab/>
        <w:t>all’interno</w:t>
      </w:r>
      <w:r>
        <w:rPr>
          <w:b/>
          <w:sz w:val="24"/>
          <w:u w:val="thick"/>
        </w:rPr>
        <w:tab/>
        <w:t>del</w:t>
      </w:r>
      <w:r>
        <w:rPr>
          <w:b/>
          <w:sz w:val="24"/>
          <w:u w:val="thick"/>
        </w:rPr>
        <w:tab/>
        <w:t>medesimo</w:t>
      </w:r>
      <w:r>
        <w:rPr>
          <w:b/>
          <w:sz w:val="24"/>
          <w:u w:val="thick"/>
        </w:rPr>
        <w:tab/>
        <w:t>territorio</w:t>
      </w:r>
      <w:r>
        <w:rPr>
          <w:b/>
          <w:sz w:val="24"/>
          <w:u w:val="thick"/>
        </w:rPr>
        <w:tab/>
        <w:t>comunale</w:t>
      </w:r>
      <w:r>
        <w:rPr>
          <w:b/>
          <w:sz w:val="24"/>
          <w:u w:val="thick"/>
        </w:rPr>
        <w:tab/>
        <w:t>o</w:t>
      </w:r>
      <w:r>
        <w:rPr>
          <w:b/>
          <w:sz w:val="24"/>
          <w:u w:val="thick"/>
        </w:rPr>
        <w:tab/>
        <w:t>della</w:t>
      </w:r>
      <w:r>
        <w:rPr>
          <w:b/>
          <w:sz w:val="24"/>
          <w:u w:val="thick"/>
        </w:rPr>
        <w:tab/>
      </w:r>
      <w:r>
        <w:rPr>
          <w:b/>
          <w:spacing w:val="-5"/>
          <w:sz w:val="24"/>
          <w:u w:val="thick"/>
        </w:rPr>
        <w:t>città</w:t>
      </w:r>
      <w:r>
        <w:rPr>
          <w:b/>
          <w:spacing w:val="-5"/>
          <w:sz w:val="24"/>
        </w:rPr>
        <w:t xml:space="preserve"> </w:t>
      </w:r>
      <w:r>
        <w:rPr>
          <w:b/>
          <w:sz w:val="24"/>
          <w:u w:val="thick"/>
        </w:rPr>
        <w:t>metropolitana</w:t>
      </w:r>
      <w:r>
        <w:rPr>
          <w:b/>
          <w:sz w:val="24"/>
        </w:rPr>
        <w:t>, e</w:t>
      </w:r>
      <w:r>
        <w:rPr>
          <w:b/>
          <w:spacing w:val="-2"/>
          <w:sz w:val="24"/>
        </w:rPr>
        <w:t xml:space="preserve"> </w:t>
      </w:r>
      <w:r>
        <w:rPr>
          <w:b/>
          <w:sz w:val="24"/>
        </w:rPr>
        <w:t>interregionale.</w:t>
      </w:r>
    </w:p>
    <w:p w14:paraId="6FB6F82F" w14:textId="77777777" w:rsidR="0091152C" w:rsidRDefault="0091152C" w:rsidP="0091152C">
      <w:pPr>
        <w:pStyle w:val="Corpotesto"/>
        <w:spacing w:before="2"/>
        <w:rPr>
          <w:b/>
          <w:sz w:val="16"/>
        </w:rPr>
      </w:pPr>
    </w:p>
    <w:p w14:paraId="595C1DF5" w14:textId="77777777" w:rsidR="0091152C" w:rsidRDefault="0091152C" w:rsidP="0091152C">
      <w:pPr>
        <w:spacing w:before="90"/>
        <w:ind w:left="213" w:right="210"/>
        <w:jc w:val="both"/>
        <w:rPr>
          <w:b/>
          <w:sz w:val="24"/>
        </w:rPr>
      </w:pPr>
      <w:r>
        <w:rPr>
          <w:b/>
          <w:sz w:val="24"/>
          <w:shd w:val="clear" w:color="auto" w:fill="FFFF00"/>
        </w:rPr>
        <w:t>ATTENZIONE: Il comunicato stampa del Governo parla anche di estensione al trasporto</w:t>
      </w:r>
      <w:r>
        <w:rPr>
          <w:b/>
          <w:sz w:val="24"/>
        </w:rPr>
        <w:t xml:space="preserve"> </w:t>
      </w:r>
      <w:r>
        <w:rPr>
          <w:b/>
          <w:sz w:val="24"/>
          <w:shd w:val="clear" w:color="auto" w:fill="FFFF00"/>
        </w:rPr>
        <w:t xml:space="preserve">pubblico locale (sarebbero dunque teoricamente interessati </w:t>
      </w:r>
      <w:r>
        <w:rPr>
          <w:b/>
          <w:color w:val="0000FF"/>
          <w:sz w:val="24"/>
          <w:shd w:val="clear" w:color="auto" w:fill="FFFF00"/>
        </w:rPr>
        <w:t>autobus e metropolitane</w:t>
      </w:r>
      <w:r>
        <w:rPr>
          <w:b/>
          <w:sz w:val="24"/>
          <w:shd w:val="clear" w:color="auto" w:fill="FFFF00"/>
        </w:rPr>
        <w:t>), ma di</w:t>
      </w:r>
      <w:r>
        <w:rPr>
          <w:b/>
          <w:sz w:val="24"/>
        </w:rPr>
        <w:t xml:space="preserve"> </w:t>
      </w:r>
      <w:r>
        <w:rPr>
          <w:b/>
          <w:sz w:val="24"/>
          <w:shd w:val="clear" w:color="auto" w:fill="FFFF00"/>
        </w:rPr>
        <w:t>ciò non vi è traccia, almeno nella bozza di decreto-legge a nostra disposizione.</w:t>
      </w:r>
    </w:p>
    <w:p w14:paraId="3DF615A6" w14:textId="77777777" w:rsidR="0091152C" w:rsidRDefault="00A44C42" w:rsidP="0091152C">
      <w:pPr>
        <w:pStyle w:val="Corpotesto"/>
        <w:spacing w:before="10"/>
        <w:rPr>
          <w:b/>
          <w:sz w:val="20"/>
        </w:rPr>
      </w:pPr>
      <w:r>
        <w:pict w14:anchorId="60B7BDEE">
          <v:shape id="_x0000_s2051" type="#_x0000_t202" alt="" style="position:absolute;margin-left:51pt;margin-top:14.25pt;width:493.35pt;height:16.2pt;z-index:-15726592;mso-wrap-style:square;mso-wrap-edited:f;mso-width-percent:0;mso-height-percent:0;mso-wrap-distance-left:0;mso-wrap-distance-right:0;mso-position-horizontal-relative:page;mso-width-percent:0;mso-height-percent:0;v-text-anchor:top" filled="f" strokeweight=".48pt">
            <v:textbox inset="0,0,0,0">
              <w:txbxContent>
                <w:p w14:paraId="4F9433AD" w14:textId="77777777" w:rsidR="0091152C" w:rsidRDefault="0091152C" w:rsidP="0091152C">
                  <w:pPr>
                    <w:spacing w:before="18"/>
                    <w:ind w:left="108"/>
                    <w:rPr>
                      <w:b/>
                      <w:sz w:val="24"/>
                    </w:rPr>
                  </w:pPr>
                  <w:r>
                    <w:rPr>
                      <w:b/>
                      <w:sz w:val="24"/>
                    </w:rPr>
                    <w:t>“SUPER GREEN PASS”</w:t>
                  </w:r>
                </w:p>
              </w:txbxContent>
            </v:textbox>
            <w10:wrap type="topAndBottom" anchorx="page"/>
          </v:shape>
        </w:pict>
      </w:r>
    </w:p>
    <w:p w14:paraId="24A94C63" w14:textId="77777777" w:rsidR="0091152C" w:rsidRDefault="0091152C" w:rsidP="0091152C">
      <w:pPr>
        <w:pStyle w:val="Corpotesto"/>
        <w:spacing w:before="6"/>
        <w:rPr>
          <w:b/>
          <w:sz w:val="13"/>
        </w:rPr>
      </w:pPr>
    </w:p>
    <w:p w14:paraId="0DE42598" w14:textId="77777777" w:rsidR="0091152C" w:rsidRDefault="0091152C" w:rsidP="0091152C">
      <w:pPr>
        <w:pStyle w:val="Titolo2"/>
        <w:rPr>
          <w:u w:val="none"/>
        </w:rPr>
      </w:pPr>
      <w:r>
        <w:rPr>
          <w:u w:val="thick"/>
        </w:rPr>
        <w:t>Impiego delle certificazioni verdi COVID-19 di avvenuta vaccinazione o di avvenuta guarigione</w:t>
      </w:r>
    </w:p>
    <w:p w14:paraId="0482F178" w14:textId="77777777" w:rsidR="0091152C" w:rsidRDefault="0091152C" w:rsidP="0091152C">
      <w:pPr>
        <w:pStyle w:val="Corpotesto"/>
        <w:spacing w:before="2"/>
        <w:rPr>
          <w:b/>
          <w:i/>
          <w:sz w:val="16"/>
        </w:rPr>
      </w:pPr>
    </w:p>
    <w:p w14:paraId="2E763361" w14:textId="77777777" w:rsidR="0091152C" w:rsidRDefault="0091152C" w:rsidP="0091152C">
      <w:pPr>
        <w:spacing w:before="90"/>
        <w:ind w:left="213" w:right="212"/>
        <w:jc w:val="both"/>
        <w:rPr>
          <w:sz w:val="24"/>
        </w:rPr>
      </w:pPr>
      <w:r>
        <w:rPr>
          <w:sz w:val="24"/>
        </w:rPr>
        <w:t xml:space="preserve">L’art. 5 modifica il secondo comma dell’art. 9-bis, comma 2, del DL n. 52, convertito in legge n. 87, il quale ora afferma che </w:t>
      </w:r>
      <w:r>
        <w:rPr>
          <w:b/>
          <w:sz w:val="24"/>
        </w:rPr>
        <w:t xml:space="preserve">le disposizioni sull’obbligo del possesso del green pass per accedere ai servizi e alle attività ivi elencati si applicano anche nelle zone gialla, arancione e rossa, laddove i servizi e le attività siano consentiti e alle condizioni previste per le singole zone, </w:t>
      </w:r>
      <w:r>
        <w:rPr>
          <w:b/>
          <w:sz w:val="24"/>
          <w:u w:val="thick"/>
        </w:rPr>
        <w:t>salvo</w:t>
      </w:r>
      <w:r>
        <w:rPr>
          <w:b/>
          <w:sz w:val="24"/>
        </w:rPr>
        <w:t xml:space="preserve"> </w:t>
      </w:r>
      <w:r>
        <w:rPr>
          <w:b/>
          <w:sz w:val="24"/>
          <w:u w:val="thick"/>
        </w:rPr>
        <w:t>quanto previsto al comma 2-bis, aggiunto dallo stesso nuovo</w:t>
      </w:r>
      <w:r>
        <w:rPr>
          <w:b/>
          <w:spacing w:val="-4"/>
          <w:sz w:val="24"/>
          <w:u w:val="thick"/>
        </w:rPr>
        <w:t xml:space="preserve"> </w:t>
      </w:r>
      <w:r>
        <w:rPr>
          <w:b/>
          <w:sz w:val="24"/>
          <w:u w:val="thick"/>
        </w:rPr>
        <w:t>provvedimento</w:t>
      </w:r>
      <w:r>
        <w:rPr>
          <w:sz w:val="24"/>
        </w:rPr>
        <w:t>.</w:t>
      </w:r>
    </w:p>
    <w:p w14:paraId="7C919953" w14:textId="77777777" w:rsidR="0091152C" w:rsidRDefault="0091152C" w:rsidP="0091152C">
      <w:pPr>
        <w:jc w:val="both"/>
        <w:rPr>
          <w:sz w:val="24"/>
        </w:rPr>
      </w:pPr>
    </w:p>
    <w:p w14:paraId="2E5AD914" w14:textId="77777777" w:rsidR="0091152C" w:rsidRDefault="0091152C" w:rsidP="0091152C">
      <w:pPr>
        <w:jc w:val="both"/>
        <w:rPr>
          <w:sz w:val="24"/>
        </w:rPr>
      </w:pPr>
    </w:p>
    <w:p w14:paraId="26F4261B" w14:textId="77777777" w:rsidR="0091152C" w:rsidRDefault="0091152C" w:rsidP="0091152C">
      <w:pPr>
        <w:jc w:val="both"/>
        <w:rPr>
          <w:sz w:val="24"/>
        </w:rPr>
      </w:pPr>
    </w:p>
    <w:p w14:paraId="1EED5CAC" w14:textId="77777777" w:rsidR="0091152C" w:rsidRDefault="0091152C" w:rsidP="0091152C">
      <w:pPr>
        <w:pStyle w:val="Corpotesto"/>
        <w:spacing w:before="60"/>
        <w:ind w:left="213"/>
      </w:pPr>
      <w:r>
        <w:t>Il nuovo comma 2-bis così recita:</w:t>
      </w:r>
    </w:p>
    <w:p w14:paraId="1308FE8A" w14:textId="77777777" w:rsidR="0091152C" w:rsidRDefault="0091152C" w:rsidP="0091152C">
      <w:pPr>
        <w:pStyle w:val="Corpotesto"/>
        <w:spacing w:before="1"/>
      </w:pPr>
    </w:p>
    <w:p w14:paraId="5B19B59E" w14:textId="77777777" w:rsidR="0091152C" w:rsidRDefault="0091152C" w:rsidP="0091152C">
      <w:pPr>
        <w:ind w:left="213" w:right="210" w:firstLine="60"/>
        <w:jc w:val="both"/>
        <w:rPr>
          <w:i/>
          <w:sz w:val="24"/>
        </w:rPr>
      </w:pPr>
      <w:r>
        <w:rPr>
          <w:i/>
          <w:sz w:val="24"/>
        </w:rPr>
        <w:t>“</w:t>
      </w:r>
      <w:r>
        <w:rPr>
          <w:i/>
          <w:color w:val="FF0000"/>
          <w:sz w:val="24"/>
        </w:rPr>
        <w:t xml:space="preserve">2-bis. </w:t>
      </w:r>
      <w:r>
        <w:rPr>
          <w:b/>
          <w:i/>
          <w:color w:val="FF0000"/>
          <w:sz w:val="24"/>
          <w:u w:val="thick" w:color="FF0000"/>
        </w:rPr>
        <w:t>Nelle zone gialla e arancione, la fruizione dei servizi, lo svolgimento delle attività e degli</w:t>
      </w:r>
      <w:r>
        <w:rPr>
          <w:b/>
          <w:i/>
          <w:color w:val="FF0000"/>
          <w:sz w:val="24"/>
        </w:rPr>
        <w:t xml:space="preserve"> </w:t>
      </w:r>
      <w:r>
        <w:rPr>
          <w:b/>
          <w:i/>
          <w:color w:val="FF0000"/>
          <w:sz w:val="24"/>
          <w:u w:val="thick" w:color="FF0000"/>
        </w:rPr>
        <w:t>spostamenti, limitati o sospesi ai sensi della normativa vigente, sono consentiti esclusivamente ai</w:t>
      </w:r>
      <w:r>
        <w:rPr>
          <w:b/>
          <w:i/>
          <w:color w:val="FF0000"/>
          <w:sz w:val="24"/>
        </w:rPr>
        <w:t xml:space="preserve"> </w:t>
      </w:r>
      <w:r>
        <w:rPr>
          <w:b/>
          <w:i/>
          <w:color w:val="FF0000"/>
          <w:sz w:val="24"/>
          <w:u w:val="thick" w:color="FF0000"/>
        </w:rPr>
        <w:t>soggetti in possesso di una delle certificazioni verdi COVID-19 di cui all’articolo 9, comma 2,</w:t>
      </w:r>
      <w:r>
        <w:rPr>
          <w:b/>
          <w:i/>
          <w:color w:val="FF0000"/>
          <w:sz w:val="24"/>
        </w:rPr>
        <w:t xml:space="preserve"> </w:t>
      </w:r>
      <w:r>
        <w:rPr>
          <w:b/>
          <w:i/>
          <w:color w:val="FF0000"/>
          <w:sz w:val="24"/>
          <w:u w:val="thick" w:color="FF0000"/>
        </w:rPr>
        <w:t>lettere a), b) e c-bis), nel rispetto della disciplina della zona bianca.</w:t>
      </w:r>
      <w:r>
        <w:rPr>
          <w:b/>
          <w:i/>
          <w:color w:val="FF0000"/>
          <w:sz w:val="24"/>
        </w:rPr>
        <w:t xml:space="preserve"> </w:t>
      </w:r>
      <w:r>
        <w:rPr>
          <w:i/>
          <w:color w:val="FF0000"/>
          <w:sz w:val="24"/>
        </w:rPr>
        <w:t xml:space="preserve">Ai servizi di ristorazione di cui al comma 1, lettera a), nelle </w:t>
      </w:r>
      <w:proofErr w:type="gramStart"/>
      <w:r>
        <w:rPr>
          <w:i/>
          <w:color w:val="FF0000"/>
          <w:sz w:val="24"/>
        </w:rPr>
        <w:t>predette</w:t>
      </w:r>
      <w:proofErr w:type="gramEnd"/>
      <w:r>
        <w:rPr>
          <w:i/>
          <w:color w:val="FF0000"/>
          <w:sz w:val="24"/>
        </w:rPr>
        <w:t xml:space="preserve"> zone, si applica il presente comma ad eccezione dei servizi di ristorazione all'interno di alberghi e di altre strutture ricettive riservati esclusivamente ai clienti ivi alloggiati e delle mense e catering continuativo su base contrattuale, ai quali si applicano le disposizioni di cui al comma 1</w:t>
      </w:r>
      <w:r>
        <w:rPr>
          <w:i/>
          <w:sz w:val="24"/>
        </w:rPr>
        <w:t>”.</w:t>
      </w:r>
    </w:p>
    <w:p w14:paraId="0459652A" w14:textId="77777777" w:rsidR="0091152C" w:rsidRDefault="0091152C" w:rsidP="0091152C">
      <w:pPr>
        <w:pStyle w:val="Corpotesto"/>
        <w:spacing w:before="9"/>
        <w:rPr>
          <w:i/>
          <w:sz w:val="23"/>
        </w:rPr>
      </w:pPr>
    </w:p>
    <w:p w14:paraId="748AABE9" w14:textId="77777777" w:rsidR="0091152C" w:rsidRDefault="0091152C" w:rsidP="0091152C">
      <w:pPr>
        <w:pStyle w:val="Titolo1"/>
      </w:pPr>
      <w:r>
        <w:t>Commento:</w:t>
      </w:r>
    </w:p>
    <w:p w14:paraId="06F1F791" w14:textId="77777777" w:rsidR="0091152C" w:rsidRDefault="0091152C" w:rsidP="0091152C">
      <w:pPr>
        <w:pStyle w:val="Corpotesto"/>
        <w:spacing w:before="1"/>
        <w:rPr>
          <w:b/>
        </w:rPr>
      </w:pPr>
    </w:p>
    <w:p w14:paraId="0BB33B23" w14:textId="77777777" w:rsidR="0091152C" w:rsidRDefault="0091152C" w:rsidP="0091152C">
      <w:pPr>
        <w:ind w:left="213" w:right="211"/>
        <w:jc w:val="both"/>
        <w:rPr>
          <w:b/>
          <w:sz w:val="24"/>
        </w:rPr>
      </w:pPr>
      <w:r>
        <w:rPr>
          <w:b/>
          <w:sz w:val="24"/>
        </w:rPr>
        <w:t xml:space="preserve">La norma prevede che, </w:t>
      </w:r>
      <w:r>
        <w:rPr>
          <w:b/>
          <w:color w:val="0000FF"/>
          <w:sz w:val="24"/>
        </w:rPr>
        <w:t>dal 29 novembre</w:t>
      </w:r>
      <w:r>
        <w:rPr>
          <w:b/>
          <w:sz w:val="24"/>
        </w:rPr>
        <w:t xml:space="preserve">, </w:t>
      </w:r>
      <w:r>
        <w:rPr>
          <w:b/>
          <w:sz w:val="24"/>
          <w:u w:val="thick"/>
        </w:rPr>
        <w:t>nelle zone gialla e arancione</w:t>
      </w:r>
      <w:r>
        <w:rPr>
          <w:b/>
          <w:sz w:val="24"/>
        </w:rPr>
        <w:t xml:space="preserve">, </w:t>
      </w:r>
      <w:r>
        <w:rPr>
          <w:b/>
          <w:sz w:val="24"/>
          <w:u w:val="thick"/>
        </w:rPr>
        <w:t>si consente la fruizione</w:t>
      </w:r>
      <w:r>
        <w:rPr>
          <w:b/>
          <w:sz w:val="24"/>
        </w:rPr>
        <w:t xml:space="preserve"> </w:t>
      </w:r>
      <w:r>
        <w:rPr>
          <w:b/>
          <w:sz w:val="24"/>
          <w:u w:val="thick"/>
        </w:rPr>
        <w:t>dei servizi, lo svolgimento delle attività e degli spostamenti, limitati o sospesi ai sensi della</w:t>
      </w:r>
      <w:r>
        <w:rPr>
          <w:b/>
          <w:sz w:val="24"/>
        </w:rPr>
        <w:t xml:space="preserve"> </w:t>
      </w:r>
      <w:r>
        <w:rPr>
          <w:b/>
          <w:sz w:val="24"/>
          <w:u w:val="thick"/>
        </w:rPr>
        <w:t>normativa vigente</w:t>
      </w:r>
      <w:r>
        <w:rPr>
          <w:b/>
          <w:sz w:val="24"/>
        </w:rPr>
        <w:t>, nel (mero) rispetto della disciplina della zona bianca,</w:t>
      </w:r>
    </w:p>
    <w:p w14:paraId="75F06FCC" w14:textId="77777777" w:rsidR="0091152C" w:rsidRDefault="0091152C" w:rsidP="0091152C">
      <w:pPr>
        <w:pStyle w:val="Corpotesto"/>
        <w:spacing w:before="2"/>
        <w:rPr>
          <w:b/>
          <w:sz w:val="16"/>
        </w:rPr>
      </w:pPr>
    </w:p>
    <w:p w14:paraId="23FDED42" w14:textId="77777777" w:rsidR="0091152C" w:rsidRDefault="0091152C" w:rsidP="0091152C">
      <w:pPr>
        <w:spacing w:before="90"/>
        <w:ind w:left="213"/>
        <w:rPr>
          <w:b/>
          <w:sz w:val="24"/>
        </w:rPr>
      </w:pPr>
      <w:r>
        <w:rPr>
          <w:b/>
          <w:sz w:val="24"/>
          <w:u w:val="thick"/>
        </w:rPr>
        <w:t>solo a chi si trovi nelle seguenti condizioni:</w:t>
      </w:r>
    </w:p>
    <w:p w14:paraId="5F83B219" w14:textId="77777777" w:rsidR="0091152C" w:rsidRDefault="0091152C" w:rsidP="0091152C">
      <w:pPr>
        <w:pStyle w:val="Corpotesto"/>
        <w:spacing w:before="2"/>
        <w:rPr>
          <w:b/>
          <w:sz w:val="16"/>
        </w:rPr>
      </w:pPr>
    </w:p>
    <w:p w14:paraId="5A5460F7" w14:textId="77777777" w:rsidR="0091152C" w:rsidRDefault="0091152C" w:rsidP="0091152C">
      <w:pPr>
        <w:pStyle w:val="Paragrafoelenco"/>
        <w:numPr>
          <w:ilvl w:val="0"/>
          <w:numId w:val="3"/>
        </w:numPr>
        <w:tabs>
          <w:tab w:val="left" w:pos="466"/>
        </w:tabs>
        <w:spacing w:before="90"/>
        <w:ind w:right="215" w:hanging="284"/>
        <w:jc w:val="both"/>
        <w:rPr>
          <w:sz w:val="24"/>
        </w:rPr>
      </w:pPr>
      <w:r>
        <w:rPr>
          <w:sz w:val="24"/>
        </w:rPr>
        <w:t>aver effettuato la vaccinazione anti-SARS-CoV-2, al termine del ciclo vaccinale primario o della somministrazione della relativa dose di richiamo (</w:t>
      </w:r>
      <w:r>
        <w:rPr>
          <w:sz w:val="24"/>
          <w:u w:val="single"/>
        </w:rPr>
        <w:t>ovviamente, alla scadenza dei nove mesi della durata del ciclo primario sarà necessario effettuare il richiamo, per non far scadere la validità del green</w:t>
      </w:r>
      <w:r>
        <w:rPr>
          <w:spacing w:val="-1"/>
          <w:sz w:val="24"/>
          <w:u w:val="single"/>
        </w:rPr>
        <w:t xml:space="preserve"> </w:t>
      </w:r>
      <w:r>
        <w:rPr>
          <w:sz w:val="24"/>
          <w:u w:val="single"/>
        </w:rPr>
        <w:t>pass</w:t>
      </w:r>
      <w:r>
        <w:rPr>
          <w:sz w:val="24"/>
        </w:rPr>
        <w:t>);</w:t>
      </w:r>
    </w:p>
    <w:p w14:paraId="7218D58B" w14:textId="77777777" w:rsidR="0091152C" w:rsidRDefault="0091152C" w:rsidP="0091152C">
      <w:pPr>
        <w:pStyle w:val="Paragrafoelenco"/>
        <w:numPr>
          <w:ilvl w:val="0"/>
          <w:numId w:val="3"/>
        </w:numPr>
        <w:tabs>
          <w:tab w:val="left" w:pos="478"/>
        </w:tabs>
        <w:ind w:right="212" w:hanging="284"/>
        <w:jc w:val="both"/>
        <w:rPr>
          <w:sz w:val="24"/>
        </w:rPr>
      </w:pPr>
      <w:r>
        <w:rPr>
          <w:sz w:val="24"/>
        </w:rPr>
        <w:t>essere guarito dall’infezione da COVID-19, con contestuale cessazione dell'isolamento prescritto in seguito ad infezione da SARS-CoV-2, disposta in ottemperanza ai criteri stabiliti con le circolari del Ministero della</w:t>
      </w:r>
      <w:r>
        <w:rPr>
          <w:spacing w:val="-2"/>
          <w:sz w:val="24"/>
        </w:rPr>
        <w:t xml:space="preserve"> </w:t>
      </w:r>
      <w:r>
        <w:rPr>
          <w:sz w:val="24"/>
        </w:rPr>
        <w:t>salute;</w:t>
      </w:r>
    </w:p>
    <w:p w14:paraId="3DC53254" w14:textId="77777777" w:rsidR="0091152C" w:rsidRDefault="0091152C" w:rsidP="0091152C">
      <w:pPr>
        <w:pStyle w:val="Paragrafoelenco"/>
        <w:numPr>
          <w:ilvl w:val="1"/>
          <w:numId w:val="2"/>
        </w:numPr>
        <w:tabs>
          <w:tab w:val="left" w:pos="520"/>
        </w:tabs>
        <w:spacing w:before="1"/>
        <w:ind w:right="215" w:hanging="284"/>
        <w:jc w:val="both"/>
        <w:rPr>
          <w:sz w:val="24"/>
        </w:rPr>
      </w:pPr>
      <w:proofErr w:type="spellStart"/>
      <w:r>
        <w:rPr>
          <w:sz w:val="24"/>
        </w:rPr>
        <w:t>is</w:t>
      </w:r>
      <w:proofErr w:type="spellEnd"/>
      <w:r>
        <w:rPr>
          <w:sz w:val="24"/>
        </w:rPr>
        <w:t>) essere guarito dall’infezione da COVID-19 dopo la somministrazione della prima dose di vaccino o al termine del prescritto ciclo;</w:t>
      </w:r>
    </w:p>
    <w:p w14:paraId="51288BAB" w14:textId="77777777" w:rsidR="0091152C" w:rsidRDefault="0091152C" w:rsidP="0091152C">
      <w:pPr>
        <w:pStyle w:val="Corpotesto"/>
        <w:spacing w:before="2"/>
        <w:rPr>
          <w:sz w:val="16"/>
        </w:rPr>
      </w:pPr>
    </w:p>
    <w:p w14:paraId="1B830015" w14:textId="77777777" w:rsidR="0091152C" w:rsidRDefault="0091152C" w:rsidP="0091152C">
      <w:pPr>
        <w:pStyle w:val="Titolo1"/>
        <w:spacing w:before="90"/>
        <w:ind w:right="212"/>
        <w:jc w:val="both"/>
      </w:pPr>
      <w:r>
        <w:t>Condizioni, queste, che consentono l’attribuzione del cosiddetto “</w:t>
      </w:r>
      <w:r>
        <w:rPr>
          <w:color w:val="006600"/>
          <w:shd w:val="clear" w:color="auto" w:fill="FFFF00"/>
        </w:rPr>
        <w:t>green pass rafforzato</w:t>
      </w:r>
      <w:r>
        <w:t xml:space="preserve">”, o </w:t>
      </w:r>
      <w:r>
        <w:lastRenderedPageBreak/>
        <w:t>“</w:t>
      </w:r>
      <w:r>
        <w:rPr>
          <w:color w:val="006600"/>
          <w:shd w:val="clear" w:color="auto" w:fill="FFFF00"/>
        </w:rPr>
        <w:t>SUPERGREEN PASS</w:t>
      </w:r>
      <w:r>
        <w:t xml:space="preserve">”, </w:t>
      </w:r>
      <w:r>
        <w:rPr>
          <w:u w:val="thick"/>
        </w:rPr>
        <w:t>con esclusione dell’utilizzabilità, a tali fini, dell’effettuazione del test</w:t>
      </w:r>
      <w:r>
        <w:t xml:space="preserve"> </w:t>
      </w:r>
      <w:r>
        <w:rPr>
          <w:u w:val="thick"/>
        </w:rPr>
        <w:t>antigenico rapido o molecolare (c.d. “tampone rapido” o “molecolare”</w:t>
      </w:r>
      <w:r>
        <w:t>).</w:t>
      </w:r>
    </w:p>
    <w:p w14:paraId="0BA6DAC2" w14:textId="77777777" w:rsidR="0091152C" w:rsidRDefault="0091152C" w:rsidP="0091152C">
      <w:pPr>
        <w:pStyle w:val="Corpotesto"/>
        <w:spacing w:before="2"/>
        <w:rPr>
          <w:b/>
          <w:sz w:val="16"/>
        </w:rPr>
      </w:pPr>
    </w:p>
    <w:p w14:paraId="1B22EFA3" w14:textId="77777777" w:rsidR="0091152C" w:rsidRDefault="0091152C" w:rsidP="0091152C">
      <w:pPr>
        <w:spacing w:before="90"/>
        <w:ind w:left="213" w:right="213"/>
        <w:jc w:val="both"/>
        <w:rPr>
          <w:b/>
          <w:sz w:val="24"/>
        </w:rPr>
      </w:pPr>
      <w:r>
        <w:rPr>
          <w:b/>
          <w:sz w:val="24"/>
        </w:rPr>
        <w:t xml:space="preserve">La norma si applica senza dubbio, per espressa previsione, alla ristorazione, </w:t>
      </w:r>
      <w:r>
        <w:rPr>
          <w:b/>
          <w:sz w:val="24"/>
          <w:u w:val="thick"/>
        </w:rPr>
        <w:t>ad eccezione dei</w:t>
      </w:r>
      <w:r>
        <w:rPr>
          <w:b/>
          <w:sz w:val="24"/>
        </w:rPr>
        <w:t xml:space="preserve"> </w:t>
      </w:r>
      <w:r>
        <w:rPr>
          <w:b/>
          <w:sz w:val="24"/>
          <w:u w:val="thick"/>
        </w:rPr>
        <w:t>servizi di ristorazione all'interno di alberghi e di altre strutture ricettive riservati</w:t>
      </w:r>
      <w:r>
        <w:rPr>
          <w:b/>
          <w:sz w:val="24"/>
        </w:rPr>
        <w:t xml:space="preserve"> </w:t>
      </w:r>
      <w:r>
        <w:rPr>
          <w:b/>
          <w:sz w:val="24"/>
          <w:u w:val="thick"/>
        </w:rPr>
        <w:t>esclusivamente ai clienti ivi alloggiati</w:t>
      </w:r>
      <w:r>
        <w:rPr>
          <w:b/>
          <w:sz w:val="24"/>
        </w:rPr>
        <w:t xml:space="preserve"> e delle mense e catering continuativo su base contrattuale.</w:t>
      </w:r>
    </w:p>
    <w:p w14:paraId="26500BAB" w14:textId="77777777" w:rsidR="0091152C" w:rsidRDefault="0091152C" w:rsidP="0091152C">
      <w:pPr>
        <w:ind w:left="213" w:right="209" w:firstLine="120"/>
        <w:jc w:val="both"/>
        <w:rPr>
          <w:b/>
          <w:sz w:val="24"/>
        </w:rPr>
      </w:pPr>
      <w:r>
        <w:rPr>
          <w:b/>
          <w:color w:val="FF0000"/>
          <w:sz w:val="24"/>
        </w:rPr>
        <w:t xml:space="preserve">In realtà, la ristorazione, in base all’attuale normativa, non subisce alcuna limitazione in zona gialla, se non quella dell’obbligo di possesso del green pass per accedere per il consumo al chiuso al tavolo, ma il decreto vi fa espresso richiamo, e dunque </w:t>
      </w:r>
      <w:r>
        <w:rPr>
          <w:b/>
          <w:color w:val="FF0000"/>
          <w:sz w:val="24"/>
          <w:u w:val="thick" w:color="FF0000"/>
        </w:rPr>
        <w:t>riteniamo rientri</w:t>
      </w:r>
      <w:r>
        <w:rPr>
          <w:b/>
          <w:color w:val="FF0000"/>
          <w:sz w:val="24"/>
        </w:rPr>
        <w:t xml:space="preserve"> </w:t>
      </w:r>
      <w:r>
        <w:rPr>
          <w:b/>
          <w:color w:val="FF0000"/>
          <w:sz w:val="24"/>
          <w:u w:val="thick" w:color="FF0000"/>
        </w:rPr>
        <w:t>nell’obbligo del SUPER GREEN PASS, almeno per la parte relativa al consumo al chiuso e al</w:t>
      </w:r>
      <w:r>
        <w:rPr>
          <w:b/>
          <w:color w:val="FF0000"/>
          <w:sz w:val="24"/>
        </w:rPr>
        <w:t xml:space="preserve"> </w:t>
      </w:r>
      <w:r>
        <w:rPr>
          <w:b/>
          <w:color w:val="FF0000"/>
          <w:sz w:val="24"/>
          <w:u w:val="thick" w:color="FF0000"/>
        </w:rPr>
        <w:t>tavolo, con esclusione quindi del consumo al banco nei</w:t>
      </w:r>
      <w:r>
        <w:rPr>
          <w:b/>
          <w:color w:val="FF0000"/>
          <w:spacing w:val="-2"/>
          <w:sz w:val="24"/>
          <w:u w:val="thick" w:color="FF0000"/>
        </w:rPr>
        <w:t xml:space="preserve"> </w:t>
      </w:r>
      <w:r>
        <w:rPr>
          <w:b/>
          <w:color w:val="FF0000"/>
          <w:sz w:val="24"/>
          <w:u w:val="thick" w:color="FF0000"/>
        </w:rPr>
        <w:t>bar</w:t>
      </w:r>
      <w:r>
        <w:rPr>
          <w:b/>
          <w:color w:val="FF0000"/>
          <w:sz w:val="24"/>
        </w:rPr>
        <w:t>.</w:t>
      </w:r>
    </w:p>
    <w:p w14:paraId="67DC7596" w14:textId="77777777" w:rsidR="0091152C" w:rsidRDefault="0091152C" w:rsidP="0091152C">
      <w:pPr>
        <w:pStyle w:val="Corpotesto"/>
        <w:spacing w:before="3"/>
        <w:rPr>
          <w:b/>
          <w:sz w:val="16"/>
        </w:rPr>
      </w:pPr>
    </w:p>
    <w:p w14:paraId="0F97ECDD" w14:textId="77777777" w:rsidR="0091152C" w:rsidRDefault="0091152C" w:rsidP="0091152C">
      <w:pPr>
        <w:pStyle w:val="Corpotesto"/>
        <w:spacing w:before="90"/>
        <w:ind w:left="213" w:right="208"/>
        <w:jc w:val="both"/>
      </w:pPr>
      <w:r>
        <w:t xml:space="preserve">Secondo il comunicato stampa del Governo, le altre attività (oltre alla ristorazione) alle quali in zona gialla o arancione si potrà accedere solo se in possesso del </w:t>
      </w:r>
      <w:r>
        <w:rPr>
          <w:b/>
          <w:color w:val="006600"/>
          <w:shd w:val="clear" w:color="auto" w:fill="FFFF00"/>
        </w:rPr>
        <w:t>SUPER GREEN PASS</w:t>
      </w:r>
      <w:r>
        <w:t>, e che altrimenti sarebbero oggetto di restrizioni, sono le</w:t>
      </w:r>
      <w:r>
        <w:rPr>
          <w:spacing w:val="-1"/>
        </w:rPr>
        <w:t xml:space="preserve"> </w:t>
      </w:r>
      <w:r>
        <w:t>seguenti:</w:t>
      </w:r>
    </w:p>
    <w:p w14:paraId="526686F1" w14:textId="77777777" w:rsidR="0091152C" w:rsidRDefault="0091152C" w:rsidP="0091152C">
      <w:pPr>
        <w:pStyle w:val="Corpotesto"/>
      </w:pPr>
    </w:p>
    <w:p w14:paraId="4253AF48" w14:textId="77777777" w:rsidR="0091152C" w:rsidRDefault="0091152C" w:rsidP="0091152C">
      <w:pPr>
        <w:pStyle w:val="Titolo1"/>
        <w:numPr>
          <w:ilvl w:val="0"/>
          <w:numId w:val="1"/>
        </w:numPr>
        <w:tabs>
          <w:tab w:val="left" w:pos="921"/>
          <w:tab w:val="left" w:pos="922"/>
        </w:tabs>
        <w:ind w:hanging="349"/>
      </w:pPr>
      <w:r>
        <w:t>Spettacoli</w:t>
      </w:r>
    </w:p>
    <w:p w14:paraId="1F782DEE" w14:textId="77777777" w:rsidR="0091152C" w:rsidRDefault="0091152C" w:rsidP="0091152C">
      <w:pPr>
        <w:pStyle w:val="Paragrafoelenco"/>
        <w:numPr>
          <w:ilvl w:val="0"/>
          <w:numId w:val="1"/>
        </w:numPr>
        <w:tabs>
          <w:tab w:val="left" w:pos="921"/>
          <w:tab w:val="left" w:pos="922"/>
        </w:tabs>
        <w:spacing w:before="22"/>
        <w:ind w:hanging="349"/>
        <w:jc w:val="left"/>
        <w:rPr>
          <w:b/>
          <w:sz w:val="24"/>
        </w:rPr>
      </w:pPr>
      <w:r>
        <w:rPr>
          <w:b/>
          <w:sz w:val="24"/>
        </w:rPr>
        <w:t>Eventi</w:t>
      </w:r>
      <w:r>
        <w:rPr>
          <w:b/>
          <w:spacing w:val="-1"/>
          <w:sz w:val="24"/>
        </w:rPr>
        <w:t xml:space="preserve"> </w:t>
      </w:r>
      <w:r>
        <w:rPr>
          <w:b/>
          <w:sz w:val="24"/>
        </w:rPr>
        <w:t>sportivi</w:t>
      </w:r>
    </w:p>
    <w:p w14:paraId="6086D5F5" w14:textId="77777777" w:rsidR="0091152C" w:rsidRDefault="0091152C" w:rsidP="0091152C">
      <w:pPr>
        <w:pStyle w:val="Paragrafoelenco"/>
        <w:numPr>
          <w:ilvl w:val="0"/>
          <w:numId w:val="1"/>
        </w:numPr>
        <w:tabs>
          <w:tab w:val="left" w:pos="921"/>
          <w:tab w:val="left" w:pos="922"/>
        </w:tabs>
        <w:spacing w:before="21"/>
        <w:ind w:hanging="349"/>
        <w:jc w:val="left"/>
        <w:rPr>
          <w:b/>
          <w:sz w:val="24"/>
        </w:rPr>
      </w:pPr>
      <w:r>
        <w:rPr>
          <w:b/>
          <w:sz w:val="24"/>
        </w:rPr>
        <w:t>Feste e</w:t>
      </w:r>
      <w:r>
        <w:rPr>
          <w:b/>
          <w:spacing w:val="-4"/>
          <w:sz w:val="24"/>
        </w:rPr>
        <w:t xml:space="preserve"> </w:t>
      </w:r>
      <w:r>
        <w:rPr>
          <w:b/>
          <w:sz w:val="24"/>
        </w:rPr>
        <w:t>discoteche</w:t>
      </w:r>
    </w:p>
    <w:p w14:paraId="2FCAF152" w14:textId="77777777" w:rsidR="0091152C" w:rsidRDefault="0091152C" w:rsidP="0091152C">
      <w:pPr>
        <w:pStyle w:val="Paragrafoelenco"/>
        <w:numPr>
          <w:ilvl w:val="0"/>
          <w:numId w:val="1"/>
        </w:numPr>
        <w:tabs>
          <w:tab w:val="left" w:pos="921"/>
          <w:tab w:val="left" w:pos="922"/>
        </w:tabs>
        <w:spacing w:before="22"/>
        <w:ind w:hanging="349"/>
        <w:jc w:val="left"/>
        <w:rPr>
          <w:b/>
          <w:sz w:val="24"/>
        </w:rPr>
      </w:pPr>
      <w:r>
        <w:rPr>
          <w:b/>
          <w:sz w:val="24"/>
        </w:rPr>
        <w:t>Cerimonie</w:t>
      </w:r>
      <w:r>
        <w:rPr>
          <w:b/>
          <w:spacing w:val="-1"/>
          <w:sz w:val="24"/>
        </w:rPr>
        <w:t xml:space="preserve"> </w:t>
      </w:r>
      <w:r>
        <w:rPr>
          <w:b/>
          <w:sz w:val="24"/>
        </w:rPr>
        <w:t>pubbliche</w:t>
      </w:r>
    </w:p>
    <w:p w14:paraId="52167276" w14:textId="77777777" w:rsidR="0091152C" w:rsidRDefault="0091152C" w:rsidP="0091152C">
      <w:pPr>
        <w:rPr>
          <w:sz w:val="24"/>
        </w:rPr>
      </w:pPr>
    </w:p>
    <w:p w14:paraId="14831589" w14:textId="77777777" w:rsidR="0094202F" w:rsidRDefault="0094202F" w:rsidP="0091152C">
      <w:pPr>
        <w:rPr>
          <w:sz w:val="24"/>
        </w:rPr>
      </w:pPr>
    </w:p>
    <w:p w14:paraId="725FF2B9" w14:textId="77777777" w:rsidR="0094202F" w:rsidRDefault="0094202F" w:rsidP="0094202F">
      <w:pPr>
        <w:pStyle w:val="Corpotesto"/>
        <w:spacing w:before="77"/>
        <w:ind w:left="213" w:right="213"/>
        <w:jc w:val="both"/>
      </w:pPr>
      <w:r>
        <w:t xml:space="preserve">A nostro avviso potrebbero ritrovarsi nella medesima esigenza (necessità del </w:t>
      </w:r>
      <w:r>
        <w:rPr>
          <w:b/>
          <w:color w:val="006600"/>
          <w:shd w:val="clear" w:color="auto" w:fill="FFFF00"/>
        </w:rPr>
        <w:t>SUPER GREEN</w:t>
      </w:r>
      <w:r>
        <w:rPr>
          <w:b/>
          <w:color w:val="006600"/>
        </w:rPr>
        <w:t xml:space="preserve"> </w:t>
      </w:r>
      <w:r>
        <w:rPr>
          <w:b/>
          <w:color w:val="006600"/>
          <w:shd w:val="clear" w:color="auto" w:fill="FFFF00"/>
        </w:rPr>
        <w:t>PASS</w:t>
      </w:r>
      <w:r>
        <w:t>) gli utenti di:</w:t>
      </w:r>
    </w:p>
    <w:p w14:paraId="65EF9B51" w14:textId="77777777" w:rsidR="0094202F" w:rsidRDefault="0094202F" w:rsidP="0094202F">
      <w:pPr>
        <w:pStyle w:val="Corpotesto"/>
        <w:spacing w:before="2"/>
      </w:pPr>
    </w:p>
    <w:p w14:paraId="342652DC" w14:textId="77777777" w:rsidR="0094202F" w:rsidRDefault="0094202F" w:rsidP="0094202F">
      <w:pPr>
        <w:pStyle w:val="Paragrafoelenco"/>
        <w:numPr>
          <w:ilvl w:val="2"/>
          <w:numId w:val="2"/>
        </w:numPr>
        <w:tabs>
          <w:tab w:val="left" w:pos="922"/>
        </w:tabs>
        <w:spacing w:line="256" w:lineRule="auto"/>
        <w:ind w:right="211" w:hanging="360"/>
        <w:rPr>
          <w:sz w:val="24"/>
        </w:rPr>
      </w:pPr>
      <w:r>
        <w:rPr>
          <w:b/>
          <w:sz w:val="24"/>
        </w:rPr>
        <w:t xml:space="preserve">Musei e altri istituti e luoghi della cultura: </w:t>
      </w:r>
      <w:r>
        <w:rPr>
          <w:sz w:val="24"/>
        </w:rPr>
        <w:t>in zona gialla, infatti, il servizio di apertura al pubblico dei musei e degli altri istituti e luoghi della cultura è limitato, in quanto sottoposto alla condizione, tenendo conto delle dimensioni e delle caratteristiche dei locali aperti al pubblico nonché dei flussi di visitatori, di garantire modalità di fruizione contingentata o comunque tali da evitare assembramenti di</w:t>
      </w:r>
      <w:r>
        <w:rPr>
          <w:spacing w:val="-1"/>
          <w:sz w:val="24"/>
        </w:rPr>
        <w:t xml:space="preserve"> </w:t>
      </w:r>
      <w:r>
        <w:rPr>
          <w:sz w:val="24"/>
        </w:rPr>
        <w:t>persone</w:t>
      </w:r>
    </w:p>
    <w:p w14:paraId="3D4592FF" w14:textId="77777777" w:rsidR="0094202F" w:rsidRDefault="0094202F" w:rsidP="0094202F">
      <w:pPr>
        <w:pStyle w:val="Corpotesto"/>
        <w:spacing w:before="9"/>
      </w:pPr>
    </w:p>
    <w:p w14:paraId="312508A5" w14:textId="77777777" w:rsidR="0094202F" w:rsidRDefault="0094202F" w:rsidP="0094202F">
      <w:pPr>
        <w:pStyle w:val="Titolo1"/>
        <w:numPr>
          <w:ilvl w:val="2"/>
          <w:numId w:val="2"/>
        </w:numPr>
        <w:tabs>
          <w:tab w:val="left" w:pos="921"/>
          <w:tab w:val="left" w:pos="922"/>
        </w:tabs>
        <w:ind w:left="921" w:hanging="349"/>
      </w:pPr>
      <w:r>
        <w:t>Tutte le altre eventuali attività che in zona gialla risentano di</w:t>
      </w:r>
      <w:r>
        <w:rPr>
          <w:spacing w:val="-5"/>
        </w:rPr>
        <w:t xml:space="preserve"> </w:t>
      </w:r>
      <w:r>
        <w:t>restrizioni</w:t>
      </w:r>
    </w:p>
    <w:p w14:paraId="74C96AC5" w14:textId="77777777" w:rsidR="0094202F" w:rsidRDefault="0094202F" w:rsidP="0094202F">
      <w:pPr>
        <w:pStyle w:val="Corpotesto"/>
        <w:spacing w:before="7"/>
        <w:rPr>
          <w:b/>
          <w:sz w:val="25"/>
        </w:rPr>
      </w:pPr>
    </w:p>
    <w:p w14:paraId="6E11F6AF" w14:textId="77777777" w:rsidR="0094202F" w:rsidRDefault="0094202F" w:rsidP="0094202F">
      <w:pPr>
        <w:ind w:left="213" w:right="210"/>
        <w:jc w:val="both"/>
        <w:rPr>
          <w:b/>
          <w:sz w:val="24"/>
        </w:rPr>
      </w:pPr>
      <w:r>
        <w:rPr>
          <w:b/>
          <w:sz w:val="24"/>
        </w:rPr>
        <w:t>ATTENZIONE</w:t>
      </w:r>
      <w:r>
        <w:rPr>
          <w:sz w:val="24"/>
        </w:rPr>
        <w:t xml:space="preserve">: </w:t>
      </w:r>
      <w:r>
        <w:rPr>
          <w:b/>
          <w:sz w:val="24"/>
        </w:rPr>
        <w:t>in caso di passaggio in zona arancione</w:t>
      </w:r>
      <w:r>
        <w:rPr>
          <w:sz w:val="24"/>
        </w:rPr>
        <w:t xml:space="preserve">, come affermato dal Governo, </w:t>
      </w:r>
      <w:r>
        <w:rPr>
          <w:b/>
          <w:sz w:val="24"/>
        </w:rPr>
        <w:t xml:space="preserve">le limitazioni previste per i musei e la ristorazione (sospensione dell’attività) non scatterebbero, ma alle attività potrebbero accedere i soli detentori del </w:t>
      </w:r>
      <w:r>
        <w:rPr>
          <w:b/>
          <w:color w:val="006600"/>
          <w:sz w:val="24"/>
          <w:shd w:val="clear" w:color="auto" w:fill="FFFF00"/>
        </w:rPr>
        <w:t>SUPER GREEN PASS</w:t>
      </w:r>
      <w:r>
        <w:rPr>
          <w:b/>
          <w:sz w:val="24"/>
        </w:rPr>
        <w:t>, cioè soggetti vaccinati o guariti (</w:t>
      </w:r>
      <w:r>
        <w:rPr>
          <w:b/>
          <w:sz w:val="24"/>
          <w:u w:val="thick"/>
        </w:rPr>
        <w:t>no tamponi</w:t>
      </w:r>
      <w:r>
        <w:rPr>
          <w:b/>
          <w:sz w:val="24"/>
        </w:rPr>
        <w:t>).</w:t>
      </w:r>
    </w:p>
    <w:p w14:paraId="42317FCD" w14:textId="77777777" w:rsidR="0094202F" w:rsidRDefault="00A44C42" w:rsidP="0094202F">
      <w:pPr>
        <w:pStyle w:val="Corpotesto"/>
        <w:spacing w:before="10"/>
        <w:rPr>
          <w:b/>
          <w:sz w:val="20"/>
        </w:rPr>
      </w:pPr>
      <w:r>
        <w:pict w14:anchorId="6B5DFD4B">
          <v:shape id="_x0000_s2050" type="#_x0000_t202" alt="" style="position:absolute;margin-left:51pt;margin-top:14.25pt;width:493.35pt;height:16.2pt;z-index:-15724544;mso-wrap-style:square;mso-wrap-edited:f;mso-width-percent:0;mso-height-percent:0;mso-wrap-distance-left:0;mso-wrap-distance-right:0;mso-position-horizontal-relative:page;mso-width-percent:0;mso-height-percent:0;v-text-anchor:top" filled="f" strokeweight=".48pt">
            <v:textbox inset="0,0,0,0">
              <w:txbxContent>
                <w:p w14:paraId="6AAFB92D" w14:textId="77777777" w:rsidR="0094202F" w:rsidRDefault="0094202F" w:rsidP="0094202F">
                  <w:pPr>
                    <w:spacing w:before="18"/>
                    <w:ind w:left="108"/>
                    <w:rPr>
                      <w:b/>
                      <w:i/>
                      <w:sz w:val="24"/>
                    </w:rPr>
                  </w:pPr>
                  <w:r>
                    <w:rPr>
                      <w:b/>
                      <w:i/>
                      <w:sz w:val="24"/>
                    </w:rPr>
                    <w:t>Disposizioni transitorie</w:t>
                  </w:r>
                </w:p>
              </w:txbxContent>
            </v:textbox>
            <w10:wrap type="topAndBottom" anchorx="page"/>
          </v:shape>
        </w:pict>
      </w:r>
    </w:p>
    <w:p w14:paraId="0000A86E" w14:textId="77777777" w:rsidR="0094202F" w:rsidRDefault="0094202F" w:rsidP="0094202F">
      <w:pPr>
        <w:pStyle w:val="Corpotesto"/>
        <w:spacing w:before="6"/>
        <w:rPr>
          <w:b/>
          <w:sz w:val="13"/>
        </w:rPr>
      </w:pPr>
    </w:p>
    <w:p w14:paraId="344A25FB" w14:textId="77777777" w:rsidR="0094202F" w:rsidRDefault="0094202F" w:rsidP="0094202F">
      <w:pPr>
        <w:spacing w:before="90"/>
        <w:ind w:left="213" w:right="211"/>
        <w:jc w:val="both"/>
        <w:rPr>
          <w:sz w:val="24"/>
        </w:rPr>
      </w:pPr>
      <w:r>
        <w:rPr>
          <w:b/>
          <w:sz w:val="24"/>
        </w:rPr>
        <w:t xml:space="preserve">L’art. 6 stabilisce che </w:t>
      </w:r>
      <w:r>
        <w:rPr>
          <w:b/>
          <w:color w:val="FF0000"/>
          <w:sz w:val="24"/>
        </w:rPr>
        <w:t xml:space="preserve">dal 6 dicembre 2021 al 31 gennaio 2022, </w:t>
      </w:r>
      <w:r>
        <w:rPr>
          <w:b/>
          <w:color w:val="FF0000"/>
          <w:sz w:val="24"/>
          <w:u w:val="thick" w:color="FF0000"/>
        </w:rPr>
        <w:t>nelle regioni e nelle province</w:t>
      </w:r>
      <w:r>
        <w:rPr>
          <w:b/>
          <w:color w:val="FF0000"/>
          <w:sz w:val="24"/>
        </w:rPr>
        <w:t xml:space="preserve"> </w:t>
      </w:r>
      <w:r>
        <w:rPr>
          <w:b/>
          <w:color w:val="FF0000"/>
          <w:sz w:val="24"/>
          <w:u w:val="thick" w:color="FF0000"/>
        </w:rPr>
        <w:t>autonome di Trento e di Bolzano, i cui territori si collocano in zona bianca</w:t>
      </w:r>
      <w:r>
        <w:rPr>
          <w:b/>
          <w:color w:val="FF0000"/>
          <w:sz w:val="24"/>
        </w:rPr>
        <w:t xml:space="preserve">, lo svolgimento delle attività e la fruizione dei servizi, per i quali in zona gialla sono previsti limitazioni sono consentiti esclusivamente ai soggetti in possesso delle certificazioni verdi COVID-19 di cui all’articolo 9, comma 2, lettere a), b) e c-bis), del decreto-legge n. 52 del 2021, nel rispetto della disciplina della zona bianca. </w:t>
      </w:r>
      <w:r>
        <w:rPr>
          <w:color w:val="FF0000"/>
          <w:sz w:val="24"/>
        </w:rPr>
        <w:t xml:space="preserve">Nei servizi di cui al primo periodo sono compresi quelli di ristorazione a eccezione di quelli all'interno di alberghi e di altre strutture ricettive riservati esclusivamente ai clienti ivi alloggiati e delle mense e catering continuativo su base contrattuale, ai quali si applicano le disposizioni di cui al comma 1 del </w:t>
      </w:r>
      <w:proofErr w:type="gramStart"/>
      <w:r>
        <w:rPr>
          <w:color w:val="FF0000"/>
          <w:sz w:val="24"/>
        </w:rPr>
        <w:t>predetto</w:t>
      </w:r>
      <w:proofErr w:type="gramEnd"/>
      <w:r>
        <w:rPr>
          <w:color w:val="FF0000"/>
          <w:sz w:val="24"/>
        </w:rPr>
        <w:t xml:space="preserve"> articolo 9.</w:t>
      </w:r>
    </w:p>
    <w:p w14:paraId="1B9FD37F" w14:textId="77777777" w:rsidR="0094202F" w:rsidRDefault="0094202F" w:rsidP="0094202F">
      <w:pPr>
        <w:pStyle w:val="Corpotesto"/>
        <w:spacing w:before="1"/>
      </w:pPr>
    </w:p>
    <w:p w14:paraId="5D817112" w14:textId="77777777" w:rsidR="0094202F" w:rsidRDefault="0094202F" w:rsidP="0094202F">
      <w:pPr>
        <w:pStyle w:val="Titolo1"/>
      </w:pPr>
      <w:r>
        <w:lastRenderedPageBreak/>
        <w:t>Commento:</w:t>
      </w:r>
    </w:p>
    <w:p w14:paraId="49DBB9BF" w14:textId="77777777" w:rsidR="0094202F" w:rsidRDefault="0094202F" w:rsidP="0094202F">
      <w:pPr>
        <w:pStyle w:val="Corpotesto"/>
        <w:rPr>
          <w:b/>
        </w:rPr>
      </w:pPr>
    </w:p>
    <w:p w14:paraId="0D71B80B" w14:textId="77777777" w:rsidR="0094202F" w:rsidRDefault="0094202F" w:rsidP="0094202F">
      <w:pPr>
        <w:ind w:left="213" w:right="208"/>
        <w:jc w:val="both"/>
        <w:rPr>
          <w:b/>
          <w:sz w:val="24"/>
        </w:rPr>
      </w:pPr>
      <w:r>
        <w:rPr>
          <w:b/>
          <w:sz w:val="24"/>
        </w:rPr>
        <w:t xml:space="preserve">Per il prossimo periodo delle festività natalizie e di fine anno, l’art. 6 prevede un regime particolare, che consente l’applicazione della norma sul </w:t>
      </w:r>
      <w:r>
        <w:rPr>
          <w:b/>
          <w:color w:val="006600"/>
          <w:sz w:val="24"/>
          <w:shd w:val="clear" w:color="auto" w:fill="FFFF00"/>
        </w:rPr>
        <w:t>SUPER GREEN PASS</w:t>
      </w:r>
      <w:r>
        <w:rPr>
          <w:b/>
          <w:color w:val="006600"/>
          <w:sz w:val="24"/>
        </w:rPr>
        <w:t xml:space="preserve"> </w:t>
      </w:r>
      <w:r>
        <w:rPr>
          <w:b/>
          <w:sz w:val="24"/>
        </w:rPr>
        <w:t>anche alle zone</w:t>
      </w:r>
      <w:r>
        <w:rPr>
          <w:b/>
          <w:spacing w:val="-2"/>
          <w:sz w:val="24"/>
        </w:rPr>
        <w:t xml:space="preserve"> </w:t>
      </w:r>
      <w:r>
        <w:rPr>
          <w:b/>
          <w:sz w:val="24"/>
        </w:rPr>
        <w:t>bianche.</w:t>
      </w:r>
    </w:p>
    <w:p w14:paraId="5EAE47CD" w14:textId="77777777" w:rsidR="0094202F" w:rsidRDefault="0094202F" w:rsidP="0094202F">
      <w:pPr>
        <w:pStyle w:val="Corpotesto"/>
        <w:rPr>
          <w:b/>
        </w:rPr>
      </w:pPr>
    </w:p>
    <w:p w14:paraId="5F055A17" w14:textId="77777777" w:rsidR="0094202F" w:rsidRDefault="0094202F" w:rsidP="0094202F">
      <w:pPr>
        <w:spacing w:before="1"/>
        <w:ind w:left="213" w:right="208"/>
        <w:jc w:val="both"/>
        <w:rPr>
          <w:b/>
          <w:sz w:val="24"/>
        </w:rPr>
      </w:pPr>
      <w:r>
        <w:rPr>
          <w:b/>
          <w:sz w:val="24"/>
        </w:rPr>
        <w:t xml:space="preserve">Nelle Regioni “zona bianca”, dunque, durante tale periodo (che nel comunicato stampa del Governo si chiuderebbe il 15 gennaio 2022, e non il 31) lo svolgimento delle attività e la fruizione dei servizi, per i quali in zona gialla sono previsti limitazioni </w:t>
      </w:r>
      <w:r>
        <w:rPr>
          <w:sz w:val="24"/>
        </w:rPr>
        <w:t>(</w:t>
      </w:r>
      <w:r>
        <w:rPr>
          <w:sz w:val="24"/>
          <w:u w:val="single"/>
        </w:rPr>
        <w:t>dovrebbe dunque</w:t>
      </w:r>
      <w:r>
        <w:rPr>
          <w:sz w:val="24"/>
        </w:rPr>
        <w:t xml:space="preserve"> </w:t>
      </w:r>
      <w:r>
        <w:rPr>
          <w:sz w:val="24"/>
          <w:u w:val="single"/>
        </w:rPr>
        <w:t>trattarsi delle attività sopra elencate</w:t>
      </w:r>
      <w:r>
        <w:rPr>
          <w:sz w:val="24"/>
        </w:rPr>
        <w:t xml:space="preserve">: </w:t>
      </w:r>
      <w:r>
        <w:rPr>
          <w:sz w:val="24"/>
          <w:u w:val="single"/>
        </w:rPr>
        <w:t>ristorazione</w:t>
      </w:r>
      <w:r>
        <w:rPr>
          <w:sz w:val="24"/>
        </w:rPr>
        <w:t xml:space="preserve">, ad eccezione dei servizi di ristorazione all'interno di alberghi e di altre strutture ricettive riservati esclusivamente ai clienti ivi alloggiati e delle mense e catering continuativo su base contrattuale, </w:t>
      </w:r>
      <w:r>
        <w:rPr>
          <w:sz w:val="24"/>
          <w:u w:val="single"/>
        </w:rPr>
        <w:t>spettacoli</w:t>
      </w:r>
      <w:r>
        <w:rPr>
          <w:sz w:val="24"/>
        </w:rPr>
        <w:t xml:space="preserve">, </w:t>
      </w:r>
      <w:r>
        <w:rPr>
          <w:sz w:val="24"/>
          <w:u w:val="single"/>
        </w:rPr>
        <w:t>eventi sportivi</w:t>
      </w:r>
      <w:r>
        <w:rPr>
          <w:sz w:val="24"/>
        </w:rPr>
        <w:t xml:space="preserve">, </w:t>
      </w:r>
      <w:r>
        <w:rPr>
          <w:sz w:val="24"/>
          <w:u w:val="single"/>
        </w:rPr>
        <w:t>feste e discoteche</w:t>
      </w:r>
      <w:r>
        <w:rPr>
          <w:sz w:val="24"/>
        </w:rPr>
        <w:t xml:space="preserve">, </w:t>
      </w:r>
      <w:r>
        <w:rPr>
          <w:sz w:val="24"/>
          <w:u w:val="single"/>
        </w:rPr>
        <w:t>cerimonie</w:t>
      </w:r>
      <w:r>
        <w:rPr>
          <w:sz w:val="24"/>
        </w:rPr>
        <w:t xml:space="preserve"> </w:t>
      </w:r>
      <w:r>
        <w:rPr>
          <w:sz w:val="24"/>
          <w:u w:val="single"/>
        </w:rPr>
        <w:t>pubbliche</w:t>
      </w:r>
      <w:r>
        <w:rPr>
          <w:sz w:val="24"/>
        </w:rPr>
        <w:t xml:space="preserve">, </w:t>
      </w:r>
      <w:r>
        <w:rPr>
          <w:i/>
          <w:sz w:val="24"/>
        </w:rPr>
        <w:t>ai quali abbiamo ipotizzato si aggiungano i musei</w:t>
      </w:r>
      <w:r>
        <w:rPr>
          <w:sz w:val="24"/>
        </w:rPr>
        <w:t xml:space="preserve">) </w:t>
      </w:r>
      <w:r>
        <w:rPr>
          <w:b/>
          <w:sz w:val="24"/>
        </w:rPr>
        <w:t>saranno consentiti esclusivamente ai soggetti in possesso del SUPER GREEN PASS, dunque ai soli vaccinati o guariti.</w:t>
      </w:r>
    </w:p>
    <w:p w14:paraId="744B2C8B" w14:textId="77777777" w:rsidR="0094202F" w:rsidRDefault="0094202F" w:rsidP="0091152C">
      <w:pPr>
        <w:rPr>
          <w:sz w:val="24"/>
        </w:rPr>
      </w:pPr>
    </w:p>
    <w:p w14:paraId="1CE72629" w14:textId="77777777" w:rsidR="0094202F" w:rsidRDefault="0094202F" w:rsidP="0091152C">
      <w:pPr>
        <w:rPr>
          <w:sz w:val="24"/>
        </w:rPr>
      </w:pPr>
    </w:p>
    <w:p w14:paraId="17989E0C" w14:textId="02F8C696" w:rsidR="0094202F" w:rsidRDefault="0094202F" w:rsidP="0091152C">
      <w:pPr>
        <w:rPr>
          <w:sz w:val="24"/>
        </w:rPr>
        <w:sectPr w:rsidR="0094202F">
          <w:pgSz w:w="11910" w:h="16840"/>
          <w:pgMar w:top="1000" w:right="920" w:bottom="1240" w:left="920" w:header="0" w:footer="1051" w:gutter="0"/>
          <w:cols w:space="720"/>
        </w:sectPr>
      </w:pPr>
    </w:p>
    <w:p w14:paraId="0BE49BBF" w14:textId="77777777" w:rsidR="0091152C" w:rsidRDefault="0091152C" w:rsidP="0091152C">
      <w:pPr>
        <w:spacing w:before="1"/>
        <w:ind w:left="213" w:right="208"/>
        <w:jc w:val="both"/>
        <w:rPr>
          <w:b/>
          <w:sz w:val="24"/>
        </w:rPr>
      </w:pPr>
    </w:p>
    <w:p w14:paraId="5C91753C" w14:textId="77777777" w:rsidR="0091152C" w:rsidRDefault="0091152C" w:rsidP="0091152C">
      <w:pPr>
        <w:spacing w:before="1"/>
        <w:ind w:left="213" w:right="208"/>
        <w:jc w:val="both"/>
        <w:rPr>
          <w:b/>
          <w:sz w:val="24"/>
        </w:rPr>
      </w:pPr>
    </w:p>
    <w:p w14:paraId="0BCAFFF1" w14:textId="77777777" w:rsidR="0091152C" w:rsidRDefault="0091152C" w:rsidP="0091152C">
      <w:pPr>
        <w:spacing w:before="1"/>
        <w:ind w:left="213" w:right="208"/>
        <w:jc w:val="both"/>
        <w:rPr>
          <w:b/>
          <w:sz w:val="24"/>
        </w:rPr>
      </w:pPr>
    </w:p>
    <w:p w14:paraId="1F606098" w14:textId="77777777" w:rsidR="0091152C" w:rsidRDefault="0091152C" w:rsidP="0091152C">
      <w:pPr>
        <w:spacing w:before="1"/>
        <w:ind w:left="213" w:right="208"/>
        <w:jc w:val="both"/>
        <w:rPr>
          <w:b/>
          <w:sz w:val="24"/>
        </w:rPr>
      </w:pPr>
    </w:p>
    <w:p w14:paraId="25086C75" w14:textId="77777777" w:rsidR="0091152C" w:rsidRDefault="0091152C" w:rsidP="0091152C">
      <w:pPr>
        <w:spacing w:before="1"/>
        <w:ind w:left="213" w:right="208"/>
        <w:jc w:val="both"/>
        <w:rPr>
          <w:b/>
          <w:sz w:val="24"/>
        </w:rPr>
      </w:pPr>
    </w:p>
    <w:p w14:paraId="55AF7729" w14:textId="77777777" w:rsidR="0091152C" w:rsidRDefault="0091152C" w:rsidP="0091152C">
      <w:pPr>
        <w:spacing w:before="1"/>
        <w:ind w:left="213" w:right="208"/>
        <w:jc w:val="both"/>
        <w:rPr>
          <w:b/>
          <w:sz w:val="24"/>
        </w:rPr>
      </w:pPr>
    </w:p>
    <w:p w14:paraId="63E31C63" w14:textId="4F6B304E" w:rsidR="00BD223A" w:rsidRDefault="00BD223A">
      <w:pPr>
        <w:pStyle w:val="Corpotesto"/>
        <w:spacing w:before="3"/>
        <w:rPr>
          <w:sz w:val="15"/>
        </w:rPr>
      </w:pPr>
    </w:p>
    <w:sectPr w:rsidR="00BD223A" w:rsidSect="0091152C">
      <w:footerReference w:type="default" r:id="rId9"/>
      <w:pgSz w:w="11910" w:h="16840"/>
      <w:pgMar w:top="1000" w:right="920" w:bottom="1240" w:left="920"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E916" w14:textId="77777777" w:rsidR="00A44C42" w:rsidRDefault="00A44C42">
      <w:r>
        <w:separator/>
      </w:r>
    </w:p>
  </w:endnote>
  <w:endnote w:type="continuationSeparator" w:id="0">
    <w:p w14:paraId="5636827C" w14:textId="77777777" w:rsidR="00A44C42" w:rsidRDefault="00A4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00FE" w14:textId="51DF648E" w:rsidR="00BD223A" w:rsidRDefault="00BD223A">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E8BC" w14:textId="713F3F05" w:rsidR="00BD223A" w:rsidRDefault="00BD223A">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1FCF" w14:textId="77777777" w:rsidR="00A44C42" w:rsidRDefault="00A44C42">
      <w:r>
        <w:separator/>
      </w:r>
    </w:p>
  </w:footnote>
  <w:footnote w:type="continuationSeparator" w:id="0">
    <w:p w14:paraId="3C549B90" w14:textId="77777777" w:rsidR="00A44C42" w:rsidRDefault="00A4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481"/>
    <w:multiLevelType w:val="hybridMultilevel"/>
    <w:tmpl w:val="F2BEFA4E"/>
    <w:lvl w:ilvl="0" w:tplc="37BEC47A">
      <w:start w:val="1"/>
      <w:numFmt w:val="decimal"/>
      <w:lvlText w:val="%1."/>
      <w:lvlJc w:val="left"/>
      <w:pPr>
        <w:ind w:left="213" w:hanging="353"/>
        <w:jc w:val="left"/>
      </w:pPr>
      <w:rPr>
        <w:rFonts w:ascii="Times New Roman" w:eastAsia="Times New Roman" w:hAnsi="Times New Roman" w:cs="Times New Roman" w:hint="default"/>
        <w:color w:val="0000FF"/>
        <w:spacing w:val="-8"/>
        <w:w w:val="99"/>
        <w:sz w:val="24"/>
        <w:szCs w:val="24"/>
        <w:lang w:val="it-IT" w:eastAsia="en-US" w:bidi="ar-SA"/>
      </w:rPr>
    </w:lvl>
    <w:lvl w:ilvl="1" w:tplc="330A97D0">
      <w:start w:val="1"/>
      <w:numFmt w:val="lowerLetter"/>
      <w:lvlText w:val="%2)"/>
      <w:lvlJc w:val="left"/>
      <w:pPr>
        <w:ind w:left="640" w:hanging="306"/>
        <w:jc w:val="left"/>
      </w:pPr>
      <w:rPr>
        <w:rFonts w:ascii="Times New Roman" w:eastAsia="Times New Roman" w:hAnsi="Times New Roman" w:cs="Times New Roman" w:hint="default"/>
        <w:color w:val="0000FF"/>
        <w:spacing w:val="-2"/>
        <w:w w:val="99"/>
        <w:sz w:val="24"/>
        <w:szCs w:val="24"/>
        <w:lang w:val="it-IT" w:eastAsia="en-US" w:bidi="ar-SA"/>
      </w:rPr>
    </w:lvl>
    <w:lvl w:ilvl="2" w:tplc="A660604A">
      <w:numFmt w:val="bullet"/>
      <w:lvlText w:val=""/>
      <w:lvlJc w:val="left"/>
      <w:pPr>
        <w:ind w:left="933" w:hanging="348"/>
      </w:pPr>
      <w:rPr>
        <w:rFonts w:ascii="Wingdings" w:eastAsia="Wingdings" w:hAnsi="Wingdings" w:cs="Wingdings" w:hint="default"/>
        <w:w w:val="100"/>
        <w:sz w:val="24"/>
        <w:szCs w:val="24"/>
        <w:lang w:val="it-IT" w:eastAsia="en-US" w:bidi="ar-SA"/>
      </w:rPr>
    </w:lvl>
    <w:lvl w:ilvl="3" w:tplc="7EC60948">
      <w:numFmt w:val="bullet"/>
      <w:lvlText w:val="•"/>
      <w:lvlJc w:val="left"/>
      <w:pPr>
        <w:ind w:left="2080" w:hanging="348"/>
      </w:pPr>
      <w:rPr>
        <w:rFonts w:hint="default"/>
        <w:lang w:val="it-IT" w:eastAsia="en-US" w:bidi="ar-SA"/>
      </w:rPr>
    </w:lvl>
    <w:lvl w:ilvl="4" w:tplc="6080A91E">
      <w:numFmt w:val="bullet"/>
      <w:lvlText w:val="•"/>
      <w:lvlJc w:val="left"/>
      <w:pPr>
        <w:ind w:left="3221" w:hanging="348"/>
      </w:pPr>
      <w:rPr>
        <w:rFonts w:hint="default"/>
        <w:lang w:val="it-IT" w:eastAsia="en-US" w:bidi="ar-SA"/>
      </w:rPr>
    </w:lvl>
    <w:lvl w:ilvl="5" w:tplc="616CD064">
      <w:numFmt w:val="bullet"/>
      <w:lvlText w:val="•"/>
      <w:lvlJc w:val="left"/>
      <w:pPr>
        <w:ind w:left="4362" w:hanging="348"/>
      </w:pPr>
      <w:rPr>
        <w:rFonts w:hint="default"/>
        <w:lang w:val="it-IT" w:eastAsia="en-US" w:bidi="ar-SA"/>
      </w:rPr>
    </w:lvl>
    <w:lvl w:ilvl="6" w:tplc="2E084186">
      <w:numFmt w:val="bullet"/>
      <w:lvlText w:val="•"/>
      <w:lvlJc w:val="left"/>
      <w:pPr>
        <w:ind w:left="5503" w:hanging="348"/>
      </w:pPr>
      <w:rPr>
        <w:rFonts w:hint="default"/>
        <w:lang w:val="it-IT" w:eastAsia="en-US" w:bidi="ar-SA"/>
      </w:rPr>
    </w:lvl>
    <w:lvl w:ilvl="7" w:tplc="00F0481C">
      <w:numFmt w:val="bullet"/>
      <w:lvlText w:val="•"/>
      <w:lvlJc w:val="left"/>
      <w:pPr>
        <w:ind w:left="6644" w:hanging="348"/>
      </w:pPr>
      <w:rPr>
        <w:rFonts w:hint="default"/>
        <w:lang w:val="it-IT" w:eastAsia="en-US" w:bidi="ar-SA"/>
      </w:rPr>
    </w:lvl>
    <w:lvl w:ilvl="8" w:tplc="C4662DC6">
      <w:numFmt w:val="bullet"/>
      <w:lvlText w:val="•"/>
      <w:lvlJc w:val="left"/>
      <w:pPr>
        <w:ind w:left="7784" w:hanging="348"/>
      </w:pPr>
      <w:rPr>
        <w:rFonts w:hint="default"/>
        <w:lang w:val="it-IT" w:eastAsia="en-US" w:bidi="ar-SA"/>
      </w:rPr>
    </w:lvl>
  </w:abstractNum>
  <w:abstractNum w:abstractNumId="1" w15:restartNumberingAfterBreak="0">
    <w:nsid w:val="16450040"/>
    <w:multiLevelType w:val="hybridMultilevel"/>
    <w:tmpl w:val="9C4485DE"/>
    <w:lvl w:ilvl="0" w:tplc="39AAB09C">
      <w:start w:val="1"/>
      <w:numFmt w:val="lowerLetter"/>
      <w:lvlText w:val="%1)"/>
      <w:lvlJc w:val="left"/>
      <w:pPr>
        <w:ind w:left="496" w:hanging="252"/>
        <w:jc w:val="left"/>
      </w:pPr>
      <w:rPr>
        <w:rFonts w:ascii="Times New Roman" w:eastAsia="Times New Roman" w:hAnsi="Times New Roman" w:cs="Times New Roman" w:hint="default"/>
        <w:spacing w:val="-1"/>
        <w:w w:val="100"/>
        <w:sz w:val="24"/>
        <w:szCs w:val="24"/>
        <w:lang w:val="it-IT" w:eastAsia="en-US" w:bidi="ar-SA"/>
      </w:rPr>
    </w:lvl>
    <w:lvl w:ilvl="1" w:tplc="C0BEC04C">
      <w:numFmt w:val="bullet"/>
      <w:lvlText w:val="•"/>
      <w:lvlJc w:val="left"/>
      <w:pPr>
        <w:ind w:left="1456" w:hanging="252"/>
      </w:pPr>
      <w:rPr>
        <w:rFonts w:hint="default"/>
        <w:lang w:val="it-IT" w:eastAsia="en-US" w:bidi="ar-SA"/>
      </w:rPr>
    </w:lvl>
    <w:lvl w:ilvl="2" w:tplc="CED0B542">
      <w:numFmt w:val="bullet"/>
      <w:lvlText w:val="•"/>
      <w:lvlJc w:val="left"/>
      <w:pPr>
        <w:ind w:left="2413" w:hanging="252"/>
      </w:pPr>
      <w:rPr>
        <w:rFonts w:hint="default"/>
        <w:lang w:val="it-IT" w:eastAsia="en-US" w:bidi="ar-SA"/>
      </w:rPr>
    </w:lvl>
    <w:lvl w:ilvl="3" w:tplc="3892B4DE">
      <w:numFmt w:val="bullet"/>
      <w:lvlText w:val="•"/>
      <w:lvlJc w:val="left"/>
      <w:pPr>
        <w:ind w:left="3369" w:hanging="252"/>
      </w:pPr>
      <w:rPr>
        <w:rFonts w:hint="default"/>
        <w:lang w:val="it-IT" w:eastAsia="en-US" w:bidi="ar-SA"/>
      </w:rPr>
    </w:lvl>
    <w:lvl w:ilvl="4" w:tplc="3988647A">
      <w:numFmt w:val="bullet"/>
      <w:lvlText w:val="•"/>
      <w:lvlJc w:val="left"/>
      <w:pPr>
        <w:ind w:left="4326" w:hanging="252"/>
      </w:pPr>
      <w:rPr>
        <w:rFonts w:hint="default"/>
        <w:lang w:val="it-IT" w:eastAsia="en-US" w:bidi="ar-SA"/>
      </w:rPr>
    </w:lvl>
    <w:lvl w:ilvl="5" w:tplc="162AB7C4">
      <w:numFmt w:val="bullet"/>
      <w:lvlText w:val="•"/>
      <w:lvlJc w:val="left"/>
      <w:pPr>
        <w:ind w:left="5283" w:hanging="252"/>
      </w:pPr>
      <w:rPr>
        <w:rFonts w:hint="default"/>
        <w:lang w:val="it-IT" w:eastAsia="en-US" w:bidi="ar-SA"/>
      </w:rPr>
    </w:lvl>
    <w:lvl w:ilvl="6" w:tplc="528C55FA">
      <w:numFmt w:val="bullet"/>
      <w:lvlText w:val="•"/>
      <w:lvlJc w:val="left"/>
      <w:pPr>
        <w:ind w:left="6239" w:hanging="252"/>
      </w:pPr>
      <w:rPr>
        <w:rFonts w:hint="default"/>
        <w:lang w:val="it-IT" w:eastAsia="en-US" w:bidi="ar-SA"/>
      </w:rPr>
    </w:lvl>
    <w:lvl w:ilvl="7" w:tplc="EBFA6444">
      <w:numFmt w:val="bullet"/>
      <w:lvlText w:val="•"/>
      <w:lvlJc w:val="left"/>
      <w:pPr>
        <w:ind w:left="7196" w:hanging="252"/>
      </w:pPr>
      <w:rPr>
        <w:rFonts w:hint="default"/>
        <w:lang w:val="it-IT" w:eastAsia="en-US" w:bidi="ar-SA"/>
      </w:rPr>
    </w:lvl>
    <w:lvl w:ilvl="8" w:tplc="E09C6698">
      <w:numFmt w:val="bullet"/>
      <w:lvlText w:val="•"/>
      <w:lvlJc w:val="left"/>
      <w:pPr>
        <w:ind w:left="8153" w:hanging="252"/>
      </w:pPr>
      <w:rPr>
        <w:rFonts w:hint="default"/>
        <w:lang w:val="it-IT" w:eastAsia="en-US" w:bidi="ar-SA"/>
      </w:rPr>
    </w:lvl>
  </w:abstractNum>
  <w:abstractNum w:abstractNumId="2" w15:restartNumberingAfterBreak="0">
    <w:nsid w:val="22A95C16"/>
    <w:multiLevelType w:val="hybridMultilevel"/>
    <w:tmpl w:val="148CBDB8"/>
    <w:lvl w:ilvl="0" w:tplc="DBAE1E80">
      <w:start w:val="1"/>
      <w:numFmt w:val="decimal"/>
      <w:lvlText w:val="%1."/>
      <w:lvlJc w:val="left"/>
      <w:pPr>
        <w:ind w:left="213" w:hanging="286"/>
        <w:jc w:val="left"/>
      </w:pPr>
      <w:rPr>
        <w:rFonts w:ascii="Times New Roman" w:eastAsia="Times New Roman" w:hAnsi="Times New Roman" w:cs="Times New Roman" w:hint="default"/>
        <w:color w:val="0000FF"/>
        <w:spacing w:val="-17"/>
        <w:w w:val="99"/>
        <w:sz w:val="24"/>
        <w:szCs w:val="24"/>
        <w:lang w:val="it-IT" w:eastAsia="en-US" w:bidi="ar-SA"/>
      </w:rPr>
    </w:lvl>
    <w:lvl w:ilvl="1" w:tplc="6A4EC336">
      <w:start w:val="1"/>
      <w:numFmt w:val="lowerLetter"/>
      <w:lvlText w:val="%2)"/>
      <w:lvlJc w:val="left"/>
      <w:pPr>
        <w:ind w:left="660" w:hanging="306"/>
        <w:jc w:val="left"/>
      </w:pPr>
      <w:rPr>
        <w:rFonts w:ascii="Times New Roman" w:eastAsia="Times New Roman" w:hAnsi="Times New Roman" w:cs="Times New Roman" w:hint="default"/>
        <w:color w:val="0000FF"/>
        <w:spacing w:val="-2"/>
        <w:w w:val="99"/>
        <w:sz w:val="24"/>
        <w:szCs w:val="24"/>
        <w:lang w:val="it-IT" w:eastAsia="en-US" w:bidi="ar-SA"/>
      </w:rPr>
    </w:lvl>
    <w:lvl w:ilvl="2" w:tplc="700A9BBA">
      <w:numFmt w:val="bullet"/>
      <w:lvlText w:val="•"/>
      <w:lvlJc w:val="left"/>
      <w:pPr>
        <w:ind w:left="1705" w:hanging="306"/>
      </w:pPr>
      <w:rPr>
        <w:rFonts w:hint="default"/>
        <w:lang w:val="it-IT" w:eastAsia="en-US" w:bidi="ar-SA"/>
      </w:rPr>
    </w:lvl>
    <w:lvl w:ilvl="3" w:tplc="CA800750">
      <w:numFmt w:val="bullet"/>
      <w:lvlText w:val="•"/>
      <w:lvlJc w:val="left"/>
      <w:pPr>
        <w:ind w:left="2750" w:hanging="306"/>
      </w:pPr>
      <w:rPr>
        <w:rFonts w:hint="default"/>
        <w:lang w:val="it-IT" w:eastAsia="en-US" w:bidi="ar-SA"/>
      </w:rPr>
    </w:lvl>
    <w:lvl w:ilvl="4" w:tplc="E722CAFA">
      <w:numFmt w:val="bullet"/>
      <w:lvlText w:val="•"/>
      <w:lvlJc w:val="left"/>
      <w:pPr>
        <w:ind w:left="3795" w:hanging="306"/>
      </w:pPr>
      <w:rPr>
        <w:rFonts w:hint="default"/>
        <w:lang w:val="it-IT" w:eastAsia="en-US" w:bidi="ar-SA"/>
      </w:rPr>
    </w:lvl>
    <w:lvl w:ilvl="5" w:tplc="5950E430">
      <w:numFmt w:val="bullet"/>
      <w:lvlText w:val="•"/>
      <w:lvlJc w:val="left"/>
      <w:pPr>
        <w:ind w:left="4840" w:hanging="306"/>
      </w:pPr>
      <w:rPr>
        <w:rFonts w:hint="default"/>
        <w:lang w:val="it-IT" w:eastAsia="en-US" w:bidi="ar-SA"/>
      </w:rPr>
    </w:lvl>
    <w:lvl w:ilvl="6" w:tplc="9118E0A6">
      <w:numFmt w:val="bullet"/>
      <w:lvlText w:val="•"/>
      <w:lvlJc w:val="left"/>
      <w:pPr>
        <w:ind w:left="5885" w:hanging="306"/>
      </w:pPr>
      <w:rPr>
        <w:rFonts w:hint="default"/>
        <w:lang w:val="it-IT" w:eastAsia="en-US" w:bidi="ar-SA"/>
      </w:rPr>
    </w:lvl>
    <w:lvl w:ilvl="7" w:tplc="D402FEA0">
      <w:numFmt w:val="bullet"/>
      <w:lvlText w:val="•"/>
      <w:lvlJc w:val="left"/>
      <w:pPr>
        <w:ind w:left="6930" w:hanging="306"/>
      </w:pPr>
      <w:rPr>
        <w:rFonts w:hint="default"/>
        <w:lang w:val="it-IT" w:eastAsia="en-US" w:bidi="ar-SA"/>
      </w:rPr>
    </w:lvl>
    <w:lvl w:ilvl="8" w:tplc="CDE8F7F4">
      <w:numFmt w:val="bullet"/>
      <w:lvlText w:val="•"/>
      <w:lvlJc w:val="left"/>
      <w:pPr>
        <w:ind w:left="7976" w:hanging="306"/>
      </w:pPr>
      <w:rPr>
        <w:rFonts w:hint="default"/>
        <w:lang w:val="it-IT" w:eastAsia="en-US" w:bidi="ar-SA"/>
      </w:rPr>
    </w:lvl>
  </w:abstractNum>
  <w:abstractNum w:abstractNumId="3" w15:restartNumberingAfterBreak="0">
    <w:nsid w:val="2490513F"/>
    <w:multiLevelType w:val="hybridMultilevel"/>
    <w:tmpl w:val="25187B24"/>
    <w:lvl w:ilvl="0" w:tplc="85DE1B5A">
      <w:start w:val="1"/>
      <w:numFmt w:val="lowerLetter"/>
      <w:lvlText w:val="%1)"/>
      <w:lvlJc w:val="left"/>
      <w:pPr>
        <w:ind w:left="779" w:hanging="286"/>
        <w:jc w:val="left"/>
      </w:pPr>
      <w:rPr>
        <w:rFonts w:ascii="Times New Roman" w:eastAsia="Times New Roman" w:hAnsi="Times New Roman" w:cs="Times New Roman" w:hint="default"/>
        <w:spacing w:val="-21"/>
        <w:w w:val="99"/>
        <w:sz w:val="24"/>
        <w:szCs w:val="24"/>
        <w:lang w:val="it-IT" w:eastAsia="en-US" w:bidi="ar-SA"/>
      </w:rPr>
    </w:lvl>
    <w:lvl w:ilvl="1" w:tplc="D5A255AC">
      <w:numFmt w:val="bullet"/>
      <w:lvlText w:val="•"/>
      <w:lvlJc w:val="left"/>
      <w:pPr>
        <w:ind w:left="1708" w:hanging="286"/>
      </w:pPr>
      <w:rPr>
        <w:rFonts w:hint="default"/>
        <w:lang w:val="it-IT" w:eastAsia="en-US" w:bidi="ar-SA"/>
      </w:rPr>
    </w:lvl>
    <w:lvl w:ilvl="2" w:tplc="21C85FAE">
      <w:numFmt w:val="bullet"/>
      <w:lvlText w:val="•"/>
      <w:lvlJc w:val="left"/>
      <w:pPr>
        <w:ind w:left="2637" w:hanging="286"/>
      </w:pPr>
      <w:rPr>
        <w:rFonts w:hint="default"/>
        <w:lang w:val="it-IT" w:eastAsia="en-US" w:bidi="ar-SA"/>
      </w:rPr>
    </w:lvl>
    <w:lvl w:ilvl="3" w:tplc="F14228DE">
      <w:numFmt w:val="bullet"/>
      <w:lvlText w:val="•"/>
      <w:lvlJc w:val="left"/>
      <w:pPr>
        <w:ind w:left="3565" w:hanging="286"/>
      </w:pPr>
      <w:rPr>
        <w:rFonts w:hint="default"/>
        <w:lang w:val="it-IT" w:eastAsia="en-US" w:bidi="ar-SA"/>
      </w:rPr>
    </w:lvl>
    <w:lvl w:ilvl="4" w:tplc="26248E28">
      <w:numFmt w:val="bullet"/>
      <w:lvlText w:val="•"/>
      <w:lvlJc w:val="left"/>
      <w:pPr>
        <w:ind w:left="4494" w:hanging="286"/>
      </w:pPr>
      <w:rPr>
        <w:rFonts w:hint="default"/>
        <w:lang w:val="it-IT" w:eastAsia="en-US" w:bidi="ar-SA"/>
      </w:rPr>
    </w:lvl>
    <w:lvl w:ilvl="5" w:tplc="3F68F9AE">
      <w:numFmt w:val="bullet"/>
      <w:lvlText w:val="•"/>
      <w:lvlJc w:val="left"/>
      <w:pPr>
        <w:ind w:left="5423" w:hanging="286"/>
      </w:pPr>
      <w:rPr>
        <w:rFonts w:hint="default"/>
        <w:lang w:val="it-IT" w:eastAsia="en-US" w:bidi="ar-SA"/>
      </w:rPr>
    </w:lvl>
    <w:lvl w:ilvl="6" w:tplc="42E49A50">
      <w:numFmt w:val="bullet"/>
      <w:lvlText w:val="•"/>
      <w:lvlJc w:val="left"/>
      <w:pPr>
        <w:ind w:left="6351" w:hanging="286"/>
      </w:pPr>
      <w:rPr>
        <w:rFonts w:hint="default"/>
        <w:lang w:val="it-IT" w:eastAsia="en-US" w:bidi="ar-SA"/>
      </w:rPr>
    </w:lvl>
    <w:lvl w:ilvl="7" w:tplc="7576CA30">
      <w:numFmt w:val="bullet"/>
      <w:lvlText w:val="•"/>
      <w:lvlJc w:val="left"/>
      <w:pPr>
        <w:ind w:left="7280" w:hanging="286"/>
      </w:pPr>
      <w:rPr>
        <w:rFonts w:hint="default"/>
        <w:lang w:val="it-IT" w:eastAsia="en-US" w:bidi="ar-SA"/>
      </w:rPr>
    </w:lvl>
    <w:lvl w:ilvl="8" w:tplc="4C38780C">
      <w:numFmt w:val="bullet"/>
      <w:lvlText w:val="•"/>
      <w:lvlJc w:val="left"/>
      <w:pPr>
        <w:ind w:left="8209" w:hanging="286"/>
      </w:pPr>
      <w:rPr>
        <w:rFonts w:hint="default"/>
        <w:lang w:val="it-IT" w:eastAsia="en-US" w:bidi="ar-SA"/>
      </w:rPr>
    </w:lvl>
  </w:abstractNum>
  <w:abstractNum w:abstractNumId="4" w15:restartNumberingAfterBreak="0">
    <w:nsid w:val="334E03B8"/>
    <w:multiLevelType w:val="hybridMultilevel"/>
    <w:tmpl w:val="B23E9C62"/>
    <w:lvl w:ilvl="0" w:tplc="F944371E">
      <w:numFmt w:val="bullet"/>
      <w:lvlText w:val="-"/>
      <w:lvlJc w:val="left"/>
      <w:pPr>
        <w:ind w:left="921" w:hanging="348"/>
      </w:pPr>
      <w:rPr>
        <w:rFonts w:ascii="Times New Roman" w:eastAsia="Times New Roman" w:hAnsi="Times New Roman" w:cs="Times New Roman" w:hint="default"/>
        <w:spacing w:val="-2"/>
        <w:w w:val="99"/>
        <w:sz w:val="24"/>
        <w:szCs w:val="24"/>
        <w:lang w:val="it-IT" w:eastAsia="en-US" w:bidi="ar-SA"/>
      </w:rPr>
    </w:lvl>
    <w:lvl w:ilvl="1" w:tplc="FDD8E18E">
      <w:numFmt w:val="bullet"/>
      <w:lvlText w:val="•"/>
      <w:lvlJc w:val="left"/>
      <w:pPr>
        <w:ind w:left="1834" w:hanging="348"/>
      </w:pPr>
      <w:rPr>
        <w:rFonts w:hint="default"/>
        <w:lang w:val="it-IT" w:eastAsia="en-US" w:bidi="ar-SA"/>
      </w:rPr>
    </w:lvl>
    <w:lvl w:ilvl="2" w:tplc="B14E95C8">
      <w:numFmt w:val="bullet"/>
      <w:lvlText w:val="•"/>
      <w:lvlJc w:val="left"/>
      <w:pPr>
        <w:ind w:left="2749" w:hanging="348"/>
      </w:pPr>
      <w:rPr>
        <w:rFonts w:hint="default"/>
        <w:lang w:val="it-IT" w:eastAsia="en-US" w:bidi="ar-SA"/>
      </w:rPr>
    </w:lvl>
    <w:lvl w:ilvl="3" w:tplc="A53680CE">
      <w:numFmt w:val="bullet"/>
      <w:lvlText w:val="•"/>
      <w:lvlJc w:val="left"/>
      <w:pPr>
        <w:ind w:left="3663" w:hanging="348"/>
      </w:pPr>
      <w:rPr>
        <w:rFonts w:hint="default"/>
        <w:lang w:val="it-IT" w:eastAsia="en-US" w:bidi="ar-SA"/>
      </w:rPr>
    </w:lvl>
    <w:lvl w:ilvl="4" w:tplc="D368FA22">
      <w:numFmt w:val="bullet"/>
      <w:lvlText w:val="•"/>
      <w:lvlJc w:val="left"/>
      <w:pPr>
        <w:ind w:left="4578" w:hanging="348"/>
      </w:pPr>
      <w:rPr>
        <w:rFonts w:hint="default"/>
        <w:lang w:val="it-IT" w:eastAsia="en-US" w:bidi="ar-SA"/>
      </w:rPr>
    </w:lvl>
    <w:lvl w:ilvl="5" w:tplc="B13021F0">
      <w:numFmt w:val="bullet"/>
      <w:lvlText w:val="•"/>
      <w:lvlJc w:val="left"/>
      <w:pPr>
        <w:ind w:left="5493" w:hanging="348"/>
      </w:pPr>
      <w:rPr>
        <w:rFonts w:hint="default"/>
        <w:lang w:val="it-IT" w:eastAsia="en-US" w:bidi="ar-SA"/>
      </w:rPr>
    </w:lvl>
    <w:lvl w:ilvl="6" w:tplc="4FBE9498">
      <w:numFmt w:val="bullet"/>
      <w:lvlText w:val="•"/>
      <w:lvlJc w:val="left"/>
      <w:pPr>
        <w:ind w:left="6407" w:hanging="348"/>
      </w:pPr>
      <w:rPr>
        <w:rFonts w:hint="default"/>
        <w:lang w:val="it-IT" w:eastAsia="en-US" w:bidi="ar-SA"/>
      </w:rPr>
    </w:lvl>
    <w:lvl w:ilvl="7" w:tplc="F58EDF30">
      <w:numFmt w:val="bullet"/>
      <w:lvlText w:val="•"/>
      <w:lvlJc w:val="left"/>
      <w:pPr>
        <w:ind w:left="7322" w:hanging="348"/>
      </w:pPr>
      <w:rPr>
        <w:rFonts w:hint="default"/>
        <w:lang w:val="it-IT" w:eastAsia="en-US" w:bidi="ar-SA"/>
      </w:rPr>
    </w:lvl>
    <w:lvl w:ilvl="8" w:tplc="F5903DD6">
      <w:numFmt w:val="bullet"/>
      <w:lvlText w:val="•"/>
      <w:lvlJc w:val="left"/>
      <w:pPr>
        <w:ind w:left="8237" w:hanging="348"/>
      </w:pPr>
      <w:rPr>
        <w:rFonts w:hint="default"/>
        <w:lang w:val="it-IT" w:eastAsia="en-US" w:bidi="ar-SA"/>
      </w:rPr>
    </w:lvl>
  </w:abstractNum>
  <w:abstractNum w:abstractNumId="5" w15:restartNumberingAfterBreak="0">
    <w:nsid w:val="5CF452D7"/>
    <w:multiLevelType w:val="multilevel"/>
    <w:tmpl w:val="A90C9F22"/>
    <w:lvl w:ilvl="0">
      <w:start w:val="3"/>
      <w:numFmt w:val="lowerLetter"/>
      <w:lvlText w:val="%1"/>
      <w:lvlJc w:val="left"/>
      <w:pPr>
        <w:ind w:left="496" w:hanging="306"/>
        <w:jc w:val="left"/>
      </w:pPr>
      <w:rPr>
        <w:rFonts w:hint="default"/>
        <w:lang w:val="it-IT" w:eastAsia="en-US" w:bidi="ar-SA"/>
      </w:rPr>
    </w:lvl>
    <w:lvl w:ilvl="1">
      <w:start w:val="2"/>
      <w:numFmt w:val="lowerLetter"/>
      <w:lvlText w:val="%1-%2"/>
      <w:lvlJc w:val="left"/>
      <w:pPr>
        <w:ind w:left="496" w:hanging="306"/>
        <w:jc w:val="left"/>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933" w:hanging="348"/>
      </w:pPr>
      <w:rPr>
        <w:rFonts w:ascii="Symbol" w:eastAsia="Symbol" w:hAnsi="Symbol" w:cs="Symbol" w:hint="default"/>
        <w:w w:val="100"/>
        <w:sz w:val="24"/>
        <w:szCs w:val="24"/>
        <w:lang w:val="it-IT" w:eastAsia="en-US" w:bidi="ar-SA"/>
      </w:rPr>
    </w:lvl>
    <w:lvl w:ilvl="3">
      <w:numFmt w:val="bullet"/>
      <w:lvlText w:val="•"/>
      <w:lvlJc w:val="left"/>
      <w:pPr>
        <w:ind w:left="2968" w:hanging="348"/>
      </w:pPr>
      <w:rPr>
        <w:rFonts w:hint="default"/>
        <w:lang w:val="it-IT" w:eastAsia="en-US" w:bidi="ar-SA"/>
      </w:rPr>
    </w:lvl>
    <w:lvl w:ilvl="4">
      <w:numFmt w:val="bullet"/>
      <w:lvlText w:val="•"/>
      <w:lvlJc w:val="left"/>
      <w:pPr>
        <w:ind w:left="3982" w:hanging="348"/>
      </w:pPr>
      <w:rPr>
        <w:rFonts w:hint="default"/>
        <w:lang w:val="it-IT" w:eastAsia="en-US" w:bidi="ar-SA"/>
      </w:rPr>
    </w:lvl>
    <w:lvl w:ilvl="5">
      <w:numFmt w:val="bullet"/>
      <w:lvlText w:val="•"/>
      <w:lvlJc w:val="left"/>
      <w:pPr>
        <w:ind w:left="4996" w:hanging="348"/>
      </w:pPr>
      <w:rPr>
        <w:rFonts w:hint="default"/>
        <w:lang w:val="it-IT" w:eastAsia="en-US" w:bidi="ar-SA"/>
      </w:rPr>
    </w:lvl>
    <w:lvl w:ilvl="6">
      <w:numFmt w:val="bullet"/>
      <w:lvlText w:val="•"/>
      <w:lvlJc w:val="left"/>
      <w:pPr>
        <w:ind w:left="6010" w:hanging="348"/>
      </w:pPr>
      <w:rPr>
        <w:rFonts w:hint="default"/>
        <w:lang w:val="it-IT" w:eastAsia="en-US" w:bidi="ar-SA"/>
      </w:rPr>
    </w:lvl>
    <w:lvl w:ilvl="7">
      <w:numFmt w:val="bullet"/>
      <w:lvlText w:val="•"/>
      <w:lvlJc w:val="left"/>
      <w:pPr>
        <w:ind w:left="7024" w:hanging="348"/>
      </w:pPr>
      <w:rPr>
        <w:rFonts w:hint="default"/>
        <w:lang w:val="it-IT" w:eastAsia="en-US" w:bidi="ar-SA"/>
      </w:rPr>
    </w:lvl>
    <w:lvl w:ilvl="8">
      <w:numFmt w:val="bullet"/>
      <w:lvlText w:val="•"/>
      <w:lvlJc w:val="left"/>
      <w:pPr>
        <w:ind w:left="8038" w:hanging="348"/>
      </w:pPr>
      <w:rPr>
        <w:rFonts w:hint="default"/>
        <w:lang w:val="it-IT" w:eastAsia="en-US" w:bidi="ar-SA"/>
      </w:rPr>
    </w:lvl>
  </w:abstractNum>
  <w:abstractNum w:abstractNumId="6" w15:restartNumberingAfterBreak="0">
    <w:nsid w:val="633E7F19"/>
    <w:multiLevelType w:val="hybridMultilevel"/>
    <w:tmpl w:val="8D6A9AF2"/>
    <w:lvl w:ilvl="0" w:tplc="DC8A4FDA">
      <w:numFmt w:val="bullet"/>
      <w:lvlText w:val=""/>
      <w:lvlJc w:val="left"/>
      <w:pPr>
        <w:ind w:left="921" w:hanging="348"/>
      </w:pPr>
      <w:rPr>
        <w:rFonts w:ascii="Wingdings" w:eastAsia="Wingdings" w:hAnsi="Wingdings" w:cs="Wingdings" w:hint="default"/>
        <w:w w:val="100"/>
        <w:sz w:val="24"/>
        <w:szCs w:val="24"/>
        <w:lang w:val="it-IT" w:eastAsia="en-US" w:bidi="ar-SA"/>
      </w:rPr>
    </w:lvl>
    <w:lvl w:ilvl="1" w:tplc="AFA4B22C">
      <w:numFmt w:val="bullet"/>
      <w:lvlText w:val="•"/>
      <w:lvlJc w:val="left"/>
      <w:pPr>
        <w:ind w:left="1834" w:hanging="348"/>
      </w:pPr>
      <w:rPr>
        <w:rFonts w:hint="default"/>
        <w:lang w:val="it-IT" w:eastAsia="en-US" w:bidi="ar-SA"/>
      </w:rPr>
    </w:lvl>
    <w:lvl w:ilvl="2" w:tplc="E7C85F72">
      <w:numFmt w:val="bullet"/>
      <w:lvlText w:val="•"/>
      <w:lvlJc w:val="left"/>
      <w:pPr>
        <w:ind w:left="2749" w:hanging="348"/>
      </w:pPr>
      <w:rPr>
        <w:rFonts w:hint="default"/>
        <w:lang w:val="it-IT" w:eastAsia="en-US" w:bidi="ar-SA"/>
      </w:rPr>
    </w:lvl>
    <w:lvl w:ilvl="3" w:tplc="1A7AFC08">
      <w:numFmt w:val="bullet"/>
      <w:lvlText w:val="•"/>
      <w:lvlJc w:val="left"/>
      <w:pPr>
        <w:ind w:left="3663" w:hanging="348"/>
      </w:pPr>
      <w:rPr>
        <w:rFonts w:hint="default"/>
        <w:lang w:val="it-IT" w:eastAsia="en-US" w:bidi="ar-SA"/>
      </w:rPr>
    </w:lvl>
    <w:lvl w:ilvl="4" w:tplc="6804D694">
      <w:numFmt w:val="bullet"/>
      <w:lvlText w:val="•"/>
      <w:lvlJc w:val="left"/>
      <w:pPr>
        <w:ind w:left="4578" w:hanging="348"/>
      </w:pPr>
      <w:rPr>
        <w:rFonts w:hint="default"/>
        <w:lang w:val="it-IT" w:eastAsia="en-US" w:bidi="ar-SA"/>
      </w:rPr>
    </w:lvl>
    <w:lvl w:ilvl="5" w:tplc="9A2C372A">
      <w:numFmt w:val="bullet"/>
      <w:lvlText w:val="•"/>
      <w:lvlJc w:val="left"/>
      <w:pPr>
        <w:ind w:left="5493" w:hanging="348"/>
      </w:pPr>
      <w:rPr>
        <w:rFonts w:hint="default"/>
        <w:lang w:val="it-IT" w:eastAsia="en-US" w:bidi="ar-SA"/>
      </w:rPr>
    </w:lvl>
    <w:lvl w:ilvl="6" w:tplc="D8F81DEC">
      <w:numFmt w:val="bullet"/>
      <w:lvlText w:val="•"/>
      <w:lvlJc w:val="left"/>
      <w:pPr>
        <w:ind w:left="6407" w:hanging="348"/>
      </w:pPr>
      <w:rPr>
        <w:rFonts w:hint="default"/>
        <w:lang w:val="it-IT" w:eastAsia="en-US" w:bidi="ar-SA"/>
      </w:rPr>
    </w:lvl>
    <w:lvl w:ilvl="7" w:tplc="54220154">
      <w:numFmt w:val="bullet"/>
      <w:lvlText w:val="•"/>
      <w:lvlJc w:val="left"/>
      <w:pPr>
        <w:ind w:left="7322" w:hanging="348"/>
      </w:pPr>
      <w:rPr>
        <w:rFonts w:hint="default"/>
        <w:lang w:val="it-IT" w:eastAsia="en-US" w:bidi="ar-SA"/>
      </w:rPr>
    </w:lvl>
    <w:lvl w:ilvl="8" w:tplc="39FE5368">
      <w:numFmt w:val="bullet"/>
      <w:lvlText w:val="•"/>
      <w:lvlJc w:val="left"/>
      <w:pPr>
        <w:ind w:left="8237" w:hanging="348"/>
      </w:pPr>
      <w:rPr>
        <w:rFonts w:hint="default"/>
        <w:lang w:val="it-IT" w:eastAsia="en-US" w:bidi="ar-SA"/>
      </w:rPr>
    </w:lvl>
  </w:abstractNum>
  <w:abstractNum w:abstractNumId="7" w15:restartNumberingAfterBreak="0">
    <w:nsid w:val="7EA66FA4"/>
    <w:multiLevelType w:val="hybridMultilevel"/>
    <w:tmpl w:val="7D20CEB2"/>
    <w:lvl w:ilvl="0" w:tplc="F72845CC">
      <w:numFmt w:val="bullet"/>
      <w:lvlText w:val=""/>
      <w:lvlJc w:val="left"/>
      <w:pPr>
        <w:ind w:left="921" w:hanging="348"/>
      </w:pPr>
      <w:rPr>
        <w:rFonts w:ascii="Symbol" w:eastAsia="Symbol" w:hAnsi="Symbol" w:cs="Symbol" w:hint="default"/>
        <w:w w:val="100"/>
        <w:sz w:val="24"/>
        <w:szCs w:val="24"/>
        <w:lang w:val="it-IT" w:eastAsia="en-US" w:bidi="ar-SA"/>
      </w:rPr>
    </w:lvl>
    <w:lvl w:ilvl="1" w:tplc="392CCC1E">
      <w:numFmt w:val="bullet"/>
      <w:lvlText w:val="•"/>
      <w:lvlJc w:val="left"/>
      <w:pPr>
        <w:ind w:left="1834" w:hanging="348"/>
      </w:pPr>
      <w:rPr>
        <w:rFonts w:hint="default"/>
        <w:lang w:val="it-IT" w:eastAsia="en-US" w:bidi="ar-SA"/>
      </w:rPr>
    </w:lvl>
    <w:lvl w:ilvl="2" w:tplc="49664B22">
      <w:numFmt w:val="bullet"/>
      <w:lvlText w:val="•"/>
      <w:lvlJc w:val="left"/>
      <w:pPr>
        <w:ind w:left="2749" w:hanging="348"/>
      </w:pPr>
      <w:rPr>
        <w:rFonts w:hint="default"/>
        <w:lang w:val="it-IT" w:eastAsia="en-US" w:bidi="ar-SA"/>
      </w:rPr>
    </w:lvl>
    <w:lvl w:ilvl="3" w:tplc="B0264E0A">
      <w:numFmt w:val="bullet"/>
      <w:lvlText w:val="•"/>
      <w:lvlJc w:val="left"/>
      <w:pPr>
        <w:ind w:left="3663" w:hanging="348"/>
      </w:pPr>
      <w:rPr>
        <w:rFonts w:hint="default"/>
        <w:lang w:val="it-IT" w:eastAsia="en-US" w:bidi="ar-SA"/>
      </w:rPr>
    </w:lvl>
    <w:lvl w:ilvl="4" w:tplc="23886F4A">
      <w:numFmt w:val="bullet"/>
      <w:lvlText w:val="•"/>
      <w:lvlJc w:val="left"/>
      <w:pPr>
        <w:ind w:left="4578" w:hanging="348"/>
      </w:pPr>
      <w:rPr>
        <w:rFonts w:hint="default"/>
        <w:lang w:val="it-IT" w:eastAsia="en-US" w:bidi="ar-SA"/>
      </w:rPr>
    </w:lvl>
    <w:lvl w:ilvl="5" w:tplc="D9088536">
      <w:numFmt w:val="bullet"/>
      <w:lvlText w:val="•"/>
      <w:lvlJc w:val="left"/>
      <w:pPr>
        <w:ind w:left="5493" w:hanging="348"/>
      </w:pPr>
      <w:rPr>
        <w:rFonts w:hint="default"/>
        <w:lang w:val="it-IT" w:eastAsia="en-US" w:bidi="ar-SA"/>
      </w:rPr>
    </w:lvl>
    <w:lvl w:ilvl="6" w:tplc="DB92FE38">
      <w:numFmt w:val="bullet"/>
      <w:lvlText w:val="•"/>
      <w:lvlJc w:val="left"/>
      <w:pPr>
        <w:ind w:left="6407" w:hanging="348"/>
      </w:pPr>
      <w:rPr>
        <w:rFonts w:hint="default"/>
        <w:lang w:val="it-IT" w:eastAsia="en-US" w:bidi="ar-SA"/>
      </w:rPr>
    </w:lvl>
    <w:lvl w:ilvl="7" w:tplc="485083E0">
      <w:numFmt w:val="bullet"/>
      <w:lvlText w:val="•"/>
      <w:lvlJc w:val="left"/>
      <w:pPr>
        <w:ind w:left="7322" w:hanging="348"/>
      </w:pPr>
      <w:rPr>
        <w:rFonts w:hint="default"/>
        <w:lang w:val="it-IT" w:eastAsia="en-US" w:bidi="ar-SA"/>
      </w:rPr>
    </w:lvl>
    <w:lvl w:ilvl="8" w:tplc="8BB4F620">
      <w:numFmt w:val="bullet"/>
      <w:lvlText w:val="•"/>
      <w:lvlJc w:val="left"/>
      <w:pPr>
        <w:ind w:left="8237" w:hanging="348"/>
      </w:pPr>
      <w:rPr>
        <w:rFonts w:hint="default"/>
        <w:lang w:val="it-IT" w:eastAsia="en-US" w:bidi="ar-SA"/>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D223A"/>
    <w:rsid w:val="0055636A"/>
    <w:rsid w:val="0091152C"/>
    <w:rsid w:val="0094202F"/>
    <w:rsid w:val="00A44C42"/>
    <w:rsid w:val="00BD2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294DFD3"/>
  <w15:docId w15:val="{0D6C58F0-5AB3-2C4D-8A0A-DE0F9C38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13"/>
      <w:outlineLvl w:val="0"/>
    </w:pPr>
    <w:rPr>
      <w:b/>
      <w:bCs/>
      <w:sz w:val="24"/>
      <w:szCs w:val="24"/>
    </w:rPr>
  </w:style>
  <w:style w:type="paragraph" w:styleId="Titolo2">
    <w:name w:val="heading 2"/>
    <w:basedOn w:val="Normale"/>
    <w:uiPriority w:val="9"/>
    <w:unhideWhenUsed/>
    <w:qFormat/>
    <w:pPr>
      <w:spacing w:before="90"/>
      <w:ind w:left="213"/>
      <w:outlineLvl w:val="1"/>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21" w:hanging="349"/>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55636A"/>
    <w:pPr>
      <w:tabs>
        <w:tab w:val="center" w:pos="4819"/>
        <w:tab w:val="right" w:pos="9638"/>
      </w:tabs>
    </w:pPr>
  </w:style>
  <w:style w:type="character" w:customStyle="1" w:styleId="IntestazioneCarattere">
    <w:name w:val="Intestazione Carattere"/>
    <w:basedOn w:val="Carpredefinitoparagrafo"/>
    <w:link w:val="Intestazione"/>
    <w:uiPriority w:val="99"/>
    <w:rsid w:val="0055636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5636A"/>
    <w:pPr>
      <w:tabs>
        <w:tab w:val="center" w:pos="4819"/>
        <w:tab w:val="right" w:pos="9638"/>
      </w:tabs>
    </w:pPr>
  </w:style>
  <w:style w:type="character" w:customStyle="1" w:styleId="PidipaginaCarattere">
    <w:name w:val="Piè di pagina Carattere"/>
    <w:basedOn w:val="Carpredefinitoparagrafo"/>
    <w:link w:val="Pidipagina"/>
    <w:uiPriority w:val="99"/>
    <w:rsid w:val="0055636A"/>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2521</Words>
  <Characters>14375</Characters>
  <Application>Microsoft Office Word</Application>
  <DocSecurity>0</DocSecurity>
  <Lines>119</Lines>
  <Paragraphs>33</Paragraphs>
  <ScaleCrop>false</ScaleCrop>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27 agosto 2004</dc:title>
  <dc:creator>TATAFIORE</dc:creator>
  <cp:lastModifiedBy>21912</cp:lastModifiedBy>
  <cp:revision>4</cp:revision>
  <dcterms:created xsi:type="dcterms:W3CDTF">2021-11-26T14:55:00Z</dcterms:created>
  <dcterms:modified xsi:type="dcterms:W3CDTF">2021-11-26T15:02:00Z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per Microsoft 365</vt:lpwstr>
  </property>
  <property fmtid="{D5CDD505-2E9C-101B-9397-08002B2CF9AE}" pid="4" name="LastSaved">
    <vt:filetime>2021-11-26T00:00:00Z</vt:filetime>
  </property>
</Properties>
</file>