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E75A3" w14:textId="5AC5AEB7" w:rsidR="00C63E68" w:rsidRPr="00C63E68" w:rsidRDefault="00C63E68" w:rsidP="00C63E68">
      <w:pPr>
        <w:jc w:val="center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C63E68">
        <w:rPr>
          <w:rFonts w:ascii="Times New Roman" w:eastAsia="Times New Roman" w:hAnsi="Times New Roman" w:cs="Times New Roman"/>
          <w:lang w:eastAsia="it-IT"/>
        </w:rPr>
        <w:instrText xml:space="preserve"> INCLUDEPICTURE "/var/folders/zq/x_jg2p4n5g77l6vzr90qh74h0000gn/T/com.microsoft.Word/WebArchiveCopyPasteTempFiles/page1image38027888" \* MERGEFORMATINET </w:instrText>
      </w:r>
      <w:r w:rsidRPr="00C63E68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C63E68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 wp14:anchorId="6CC35D1B" wp14:editId="5EBEDA33">
            <wp:extent cx="1781175" cy="695325"/>
            <wp:effectExtent l="0" t="0" r="0" b="3175"/>
            <wp:docPr id="51" name="Immagine 51" descr="page1image3802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80278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E68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0ABE390E" w14:textId="77777777" w:rsidR="00C63E68" w:rsidRDefault="00C63E68" w:rsidP="00C63E68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it-IT"/>
        </w:rPr>
      </w:pPr>
    </w:p>
    <w:p w14:paraId="0745FC5C" w14:textId="77777777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6D367CDC" w14:textId="3E9F7B32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Oggetto: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Nuovo DPCM del 24 ottobre 2020 – Norme restrittive anti Covid-19. </w:t>
      </w:r>
    </w:p>
    <w:p w14:paraId="44E22BFF" w14:textId="77777777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</w:p>
    <w:p w14:paraId="59B2E7BA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Spostamenti </w:t>
      </w:r>
    </w:p>
    <w:p w14:paraId="3F70AD7A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È fortemente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raccomandato a tutte le persone fisiche di non spostarsi, con mezzi di trasporto pubblici o privati, salvo che per esigenze lavorative, di studio, per motivi di salute, per situazioni di necessità o per svolgere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̀ o usufruire di servizi non sospesi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. </w:t>
      </w:r>
    </w:p>
    <w:p w14:paraId="60BBF22B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Si tratta di una mera raccomandazione, non sanzionabile, ma è comprensibile il senso moralmente cogente della norma. </w:t>
      </w:r>
    </w:p>
    <w:p w14:paraId="25463516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Cartello capienza massima locali </w:t>
      </w:r>
    </w:p>
    <w:p w14:paraId="116F6230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È fatto obbligo nei locali pubblici e aperti al pubblico,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nonche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́ in tutti gli esercizi commerciali di esporre all’ingresso del locale un cartello che riporti il numero massimo di persone ammesse contemporaneamente nel locale medesimo, sulla base dei protocolli e delle linee guida vigenti. </w:t>
      </w:r>
    </w:p>
    <w:p w14:paraId="0C709E39" w14:textId="0C0BFAC2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Viene dunque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esteso l’obbligo di adottare il cartello, in precedenza obbligatorio solo per gli esercizi della ristorazione, anche a tutti gli esercizi commerciali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. Come si era chiarito in precedenti note, il titolare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dovra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applicare, per dedurne il calcolo, i protocolli e le linee guida adottati dalle Regioni. Come è noto, in base all’allegato 11 al DPCM, per locali fino a quaranta metri quadrati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puo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accedere una persona alla volta, oltre a un massimo di due operatori; per locali di dimensioni superiori, l'accesso è regolamentato in funzione degli spazi disponibili, differenziando, ove possibile, i percorsi di entrata e di uscita. Un’applicazione in senso restrittivo della norma dovrebbe comportare che alla superficie commerciale del locale debba essere sottratta quella occupata da banchi, scaffalature e casse e conseguentemente dovrebbe applicarsi il criterio del distanziamento di 1 mt per ricavarne lo spazio massimo a disposizione di ogni cliente presente nel locale. </w:t>
      </w:r>
    </w:p>
    <w:p w14:paraId="57729B31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Misure restrittive </w:t>
      </w:r>
    </w:p>
    <w:p w14:paraId="62B88043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Allo scopo di contrastare e contenere il diffondersi del virus COVID-19 sull'intero territorio nazionale si applicano le seguenti misure: </w:t>
      </w:r>
    </w:p>
    <w:p w14:paraId="5B1D85E5" w14:textId="77777777" w:rsidR="00C63E68" w:rsidRPr="00C63E68" w:rsidRDefault="00C63E68" w:rsidP="00C63E6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>-  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sono sospese 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̀ dei parchi tematici e di divertimento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è consentito l'accesso di bambini e ragazzi a luoghi destinati allo svolgimento di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ludiche, ricreative ed educative, anche non formali, al chiuso o all'aria aperta, con l'ausilio di operatori cui affidarli in custodia e con obbligo di adottare appositi protocolli di sicurezza predisposti in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conformita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alle linee guida del Dipartimento per le politiche della famiglia di cui all'allegato 8; </w:t>
      </w:r>
    </w:p>
    <w:p w14:paraId="16A69030" w14:textId="77777777" w:rsidR="00C63E68" w:rsidRPr="00C63E68" w:rsidRDefault="00C63E68" w:rsidP="00C63E6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lastRenderedPageBreak/>
        <w:t>-  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è consentito svolgere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sportiva o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motoria all'aperto, anche presso aree attrezzate e parchi pubblici, ove accessibili,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purche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́ comunque nel rispetto della distanza di sicurezza interpersonale di almeno due metri per l'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sportiva e di almeno un metro per ogni altra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salvo che non sia necessaria la presenza di un accompagnatore per i minori o le persone non completamente autosufficienti; </w:t>
      </w:r>
    </w:p>
    <w:p w14:paraId="0EF64DCB" w14:textId="77777777" w:rsidR="00C63E68" w:rsidRPr="00C63E68" w:rsidRDefault="00C63E68" w:rsidP="00C63E6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>-  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sono sospesi gli eventi e le competizioni sportive degli sport individuali e di squadra, svolti in ogni luogo, sia pubblico sia privato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restano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consentiti soltanto gli eventi e le competizioni sportive, riconosciuti di interesse nazionale, nei settori professionistici e dilettantistici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1A131BBF" w14:textId="77777777" w:rsidR="00C63E68" w:rsidRPr="00C63E68" w:rsidRDefault="00C63E68" w:rsidP="00C63E6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>-  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sono sospese 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̀ di palestre, piscine, centri natatori, centri benessere, centri termali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, fatta eccezione per quelli con presidio sanitario obbligatorio o che effettuino l’erogazione delle prestazioni rientranti nei livelli essenziali di assistenza,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nonche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́ centri culturali, centri sociali e centri ricreativi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6A1C2E4C" w14:textId="77777777" w:rsidR="00C63E68" w:rsidRPr="00C63E68" w:rsidRDefault="00C63E68" w:rsidP="00C63E6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>-  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l'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̀ sportiva di base e l'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motoria in genere </w:t>
      </w:r>
      <w:r w:rsidRPr="00C63E68">
        <w:rPr>
          <w:rFonts w:ascii="TimesNewRomanPS" w:eastAsia="Times New Roman" w:hAnsi="TimesNewRomanPS" w:cs="Times New Roman"/>
          <w:b/>
          <w:bCs/>
          <w:i/>
          <w:iCs/>
          <w:lang w:eastAsia="it-IT"/>
        </w:rPr>
        <w:t xml:space="preserve">svolte all’aperto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presso centri e circoli sportivi, pubblici e privati, sono consentite nel rispetto delle norme di distanziamento sociale e senza alcun assembramento, in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conformita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̀ con le linee guida emanate dall'Ufficio per lo sport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5629177D" w14:textId="77777777" w:rsidR="00C63E68" w:rsidRPr="00C63E68" w:rsidRDefault="00C63E68" w:rsidP="00C63E6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 sono consentite 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dei centri di riabilitazione,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nonche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́ quelle dei centri di addestramento e delle strutture dedicate esclusivamente al mantenimento dell’efficienza operativa in uso al Comparto Difesa, Sicurezza e Soccorso pubblico, che si svolgono nel rispetto dei protocolli e delle linee guida vigenti; </w:t>
      </w:r>
    </w:p>
    <w:p w14:paraId="0176F63F" w14:textId="77777777" w:rsidR="00C63E68" w:rsidRPr="00C63E68" w:rsidRDefault="00C63E68" w:rsidP="00C63E6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 fatto salvo quanto previsto in ordine agli eventi e alle competizioni sportive di interesse nazionale, </w:t>
      </w:r>
    </w:p>
    <w:p w14:paraId="69134CAE" w14:textId="429F91BC" w:rsidR="00C63E68" w:rsidRPr="00C63E68" w:rsidRDefault="00C63E68" w:rsidP="00C63E6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lo svolgimento degli sport di contatto, come individuati con provvedimento del Ministro per le politiche giovanili e lo sport, è sospeso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sono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altresi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̀ sospese l’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̀ sportiva dilettantistica di base, le scuole e l’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formativa di avviamento relative agli sport di contatto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nonche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́ tutte le gare, le competizioni e 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̀ connesse agli sport di contatto, anche se aventi carattere ludico-amatoriale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32A84232" w14:textId="77777777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sono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sospese 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di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sale giochi, sale scommesse, sale bingo e casinò</w:t>
      </w:r>
      <w:r w:rsidRPr="00C63E68">
        <w:rPr>
          <w:rFonts w:ascii="TimesNewRomanPSMT" w:eastAsia="Times New Roman" w:hAnsi="TimesNewRomanPSMT" w:cs="Times New Roman"/>
          <w:lang w:eastAsia="it-IT"/>
        </w:rPr>
        <w:t>;</w:t>
      </w:r>
      <w:r w:rsidRPr="00C63E68">
        <w:rPr>
          <w:rFonts w:ascii="TimesNewRomanPSMT" w:eastAsia="Times New Roman" w:hAnsi="TimesNewRomanPSMT" w:cs="Times New Roman"/>
          <w:lang w:eastAsia="it-IT"/>
        </w:rPr>
        <w:br/>
        <w:t xml:space="preserve">- sono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sospesi gli spettacoli aperti al pubblico in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sale teatrali, sale da concerto, sale cinematografiche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e in altri spazi anche all'aperto</w:t>
      </w:r>
      <w:r w:rsidRPr="00C63E68">
        <w:rPr>
          <w:rFonts w:ascii="TimesNewRomanPSMT" w:eastAsia="Times New Roman" w:hAnsi="TimesNewRomanPSMT" w:cs="Times New Roman"/>
          <w:lang w:eastAsia="it-IT"/>
        </w:rPr>
        <w:t>;</w:t>
      </w:r>
    </w:p>
    <w:p w14:paraId="4A1C156F" w14:textId="77777777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restano comunque sospese 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che abbiano luogo in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sale da ballo e discoteche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e locali</w:t>
      </w:r>
      <w:r>
        <w:rPr>
          <w:rFonts w:ascii="TimesNewRomanPS" w:eastAsia="Times New Roman" w:hAnsi="TimesNewRomanPS" w:cs="Times New Roman"/>
          <w:b/>
          <w:bCs/>
          <w:lang w:eastAsia="it-IT"/>
        </w:rPr>
        <w:t xml:space="preserve">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assimilati, all'aperto o al chiuso</w:t>
      </w:r>
      <w:r w:rsidRPr="00C63E68">
        <w:rPr>
          <w:rFonts w:ascii="TimesNewRomanPSMT" w:eastAsia="Times New Roman" w:hAnsi="TimesNewRomanPSMT" w:cs="Times New Roman"/>
          <w:lang w:eastAsia="it-IT"/>
        </w:rPr>
        <w:t>;</w:t>
      </w:r>
    </w:p>
    <w:p w14:paraId="27A8F3B5" w14:textId="77777777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sono vietate le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feste nei luoghi al chiuso e all’aperto, ivi comprese quelle conseguenti alle cerimonie civili e religiose</w:t>
      </w:r>
      <w:r w:rsidRPr="00C63E68">
        <w:rPr>
          <w:rFonts w:ascii="TimesNewRomanPSMT" w:eastAsia="Times New Roman" w:hAnsi="TimesNewRomanPSMT" w:cs="Times New Roman"/>
          <w:lang w:eastAsia="it-IT"/>
        </w:rPr>
        <w:t>;</w:t>
      </w:r>
    </w:p>
    <w:p w14:paraId="5CF3A92F" w14:textId="179A3D00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con riguardo alle abitazioni private, è fortemente raccomandato di non ricevere persone diverse </w:t>
      </w:r>
    </w:p>
    <w:p w14:paraId="0AAE6198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dai conviventi, salvo che per esigenze lavorative o situazioni di necessità e urgenza; </w:t>
      </w:r>
    </w:p>
    <w:p w14:paraId="5EE2BED0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sono vietate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sagre e fiere di qualunque genere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e gli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altri analoghi eventi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3BBF0D0D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sono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sospesi i convegni, i congressi e gli altri eventi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, ad eccezione di quelli che si svolgono con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modalita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a distanza; tutte le cerimonie pubbliche si svolgono nel rispetto dei protocolli e linee guida vigenti e in assenza di pubblico; nell'ambito delle pubbliche amministrazioni le riunioni si svolgono in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modalita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a distanza, salvo la sussistenza di motivate ragioni; è fortemente raccomandato svolgere anche le riunioni private in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modalita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a distanza; </w:t>
      </w:r>
    </w:p>
    <w:p w14:paraId="2B647D3F" w14:textId="3BD5A177" w:rsidR="00C63E68" w:rsidRPr="00C63E68" w:rsidRDefault="00C63E68" w:rsidP="00C63E6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lastRenderedPageBreak/>
        <w:t xml:space="preserve"> il servizio di apertura al pubblico dei musei e degli altri istituti e luoghi della cultura è assicurato a condizione che detti istituti e luoghi, tenendo conto delle dimensioni e delle caratteristiche dei locali aperti al pubblico,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nonche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>́ dei flussi di visitatori (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piu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o meno di 100.000 l'anno), garantiscano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modalita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di fruizione contingentata o comunque tali da evitare assembramenti di persone e da consentire che i visitatori possano rispettare la distanza tra loro di almeno un metro; </w:t>
      </w:r>
    </w:p>
    <w:p w14:paraId="4925A557" w14:textId="6ABCD636" w:rsidR="00C63E68" w:rsidRPr="00C63E68" w:rsidRDefault="00C63E68" w:rsidP="00C63E6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>fermo restando che l’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didattica ed educativa 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per il primo ciclo di istruzione e per i servizi educativi per l’infanzia continua a svolgersi in presenza, per contrastare la diffusione del contagio, previa comunicazione al ministero dell’istruzione da parte delle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autorita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regionali, locali o sanitarie delle situazioni critiche e di particolare rischio riferite agli specifici contesti territoriali,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le istituzioni scolastiche secondarie di secondo grado adottano forme flessibili nell'organizzazione dell'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didattica, incrementando il ricorso alla didattica digitale integrata, per una quota pari almeno al 75 per cento delle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̀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, modulando ulteriormente la gestione degli orari di ingresso e di uscita degli alunni, anche attraverso l'eventuale utilizzo di turni pomeridiani e disponendo che l'ingresso non avvenga in ogni caso prima delle 9,00; </w:t>
      </w:r>
    </w:p>
    <w:p w14:paraId="4444D113" w14:textId="77777777" w:rsidR="00C63E68" w:rsidRPr="00C63E68" w:rsidRDefault="00C63E68" w:rsidP="00C63E6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sono consentiti i corsi di formazione da effettuarsi in materia di salute e sicurezza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, a condizione che siano rispettate le misure di cui al «Documento tecnico sulla possibile rimodulazione delle misure di contenimento del contagio da SARS-CoV-2 nei luoghi di lavoro e strategie di prevenzione» pubblicato dall'INAIL; </w:t>
      </w:r>
    </w:p>
    <w:p w14:paraId="1F1590E8" w14:textId="77777777" w:rsidR="00C63E68" w:rsidRPr="00C63E68" w:rsidRDefault="00C63E68" w:rsidP="00C63E68">
      <w:pPr>
        <w:spacing w:before="100" w:beforeAutospacing="1" w:after="100" w:afterAutospacing="1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sono sospesi i viaggi d'istruzione, le iniziative di scambio o gemellaggio, le visite guidate e le uscite didattiche comunque denominate, programmate dalle istituzioni scolastiche di ogni ordine e grado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7A636337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Universita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predispongono, in base all'andamento del quadro epidemiologico, piani di organizzazione della didattica e delle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>̀ curriculari in presenza e a distanza in funzione delle esigenze formative tenendo conto dell'evoluzione del quadro pandemico territoriale e delle corrispondenti esigenze di sicurezza sanitaria ed, in ogni caso, nel rispetto delle linee guida del Ministero dell’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universita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e della ricerca; le disposizioni si applicano, per quanto compatibili, anche alle Istituzioni di alta formazione artistica musicale e coreutica; </w:t>
      </w:r>
    </w:p>
    <w:p w14:paraId="51E22B37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è fatto divieto agli accompagnatori dei pazienti di permanere nelle sale di attesa dei dipartimenti emergenze e accettazione e dei pronto soccorso (DEA/PS), salve specifiche diverse indicazioni del personale sanitario preposto; l'accesso di parenti e visitatori a strutture di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ospitalita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e lungo degenza, residenze sanitarie assistite (RSA),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hospice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, strutture riabilitative e strutture residenziali per anziani, autosufficienti e non, è limitata ai soli casi indicati dalla direzione sanitaria della struttura, che è tenuta ad adottare le misure necessarie a prevenire possibili trasmissioni di infezione; </w:t>
      </w:r>
    </w:p>
    <w:p w14:paraId="6CA0CF18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̀ commerciali al dettaglio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si svolgono a condizione che sia assicurato, oltre alla distanza interpersonale di almeno un metro, che gli ingressi avvengano in modo dilazionato e che venga impedito di sostare all'interno dei locali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piu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̀ del tempo necessario all'acquisto dei beni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le suddette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devono svolgersi nel rispetto dei contenuti di protocolli o linee guida idonei a prevenire o ridurre il rischio di contagio nel settore di riferimento o in ambiti analoghi, adottati dalle Regioni o dalla Conferenza delle regioni e delle province autonome nel rispetto dei principi contenuti nei protocolli o nelle linee guida nazionali e comunque in coerenza con i criteri di cui all'allegato 10. Si raccomanda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altresi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l'applicazione delle misure di cui all'allegato 11; </w:t>
      </w:r>
    </w:p>
    <w:p w14:paraId="7035BE0F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̀ dei servizi di ristorazione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(fra cui bar, pub, ristoranti, gelaterie, pasticcerie) sono consentite dalle ore 5.00 fino alle 18.00; il consumo al tavolo è consentito per un massimo di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lastRenderedPageBreak/>
        <w:t>quattro persone per tavolo, salvo che siano tutti conviventi; dopo le ore 18,00 è vietato il consumo di cibi e bevande nei luoghi pubblici e aperti al pubblico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58C9267B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resta consentita senza limiti di orario la ristorazione negli alberghi e in altre strutture ricettive 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limitatamente ai propri clienti, che siano ivi alloggiati; </w:t>
      </w:r>
    </w:p>
    <w:p w14:paraId="37D61F37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resta sempre consentita la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ristorazione con consegna a domicilio </w:t>
      </w:r>
      <w:r w:rsidRPr="00C63E68">
        <w:rPr>
          <w:rFonts w:ascii="TimesNewRomanPSMT" w:eastAsia="Times New Roman" w:hAnsi="TimesNewRomanPSMT" w:cs="Times New Roman"/>
          <w:lang w:eastAsia="it-IT"/>
        </w:rPr>
        <w:t>nel rispetto delle norme igienico-sanitarie sia per l’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di confezionamento che di trasporto,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nonche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́ fino alle ore 24,00 la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ristorazione con asporto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, con divieto di consumazione sul posto o nelle adiacenze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2C78555A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continuano a essere consentite 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delle mense e del catering continuativo su base contrattuale, che garantiscono la distanza di sicurezza interpersonale di almeno un metro, nei limiti e alle condizioni di cui al periodo precedente; </w:t>
      </w:r>
    </w:p>
    <w:p w14:paraId="1F6F2567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restano comunque aperti gli esercizi di somministrazione di alimenti e bevande siti nelle aree di servizio e rifornimento carburante situate lungo le autostrade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, negli ospedali e negli aeroporti, con obbligo di assicurare in ogni caso il rispetto della distanza interpersonale di almeno un metro; </w:t>
      </w:r>
    </w:p>
    <w:p w14:paraId="05FAB3BE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̀ inerenti ai servizi alla persona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sono consentite a condizione che le Regioni e le Province autonome abbiano preventivamente accertato la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compatibilita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dello svolgimento delle suddette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con l'andamento della situazione epidemiologica nei propri territori 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e che individuino i protocolli o le linee guida applicabili idonei a prevenire o ridurre il rischio di contagio nel settore di riferimento o in settori analoghi; </w:t>
      </w:r>
    </w:p>
    <w:p w14:paraId="58282FF5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restano garantiti, nel rispetto delle norme igienico-sanitarie, i servizi bancari, finanziari, assicurativi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nonche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>́ l'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del settore agricolo, zootecnico di trasformazione agro-alimentare comprese le filiere che ne forniscono beni e servizi; </w:t>
      </w:r>
    </w:p>
    <w:p w14:paraId="18C4C1AB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sono chiusi gli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>impianti nei comprensori sciistici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gli stessi possono essere utilizzati solo da parte di atleti professionisti e non professionisti, riconosciuti di interesse nazionale dal Comitato olimpico nazionale italiano (CONI), dal Comitato Italiano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Paralimpico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 (CIP) e/o dalle rispettive federazioni per permettere la preparazione finalizzata allo svolgimento di competizioni sportive nazionali ed internazionali o lo svolgimento di tali competizioni.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Gli impianti sono aperti agli sciatori amatoriali solo subordinatamente all'adozione di apposite linee guida da parte della Conferenza delle Regioni e delle Province autonome e validate dal Comitato tecnico- scientifico, rivolte ad evitare aggregazioni di persone e, in genere, assembramenti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; </w:t>
      </w:r>
    </w:p>
    <w:p w14:paraId="4F4673AB" w14:textId="77777777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-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le </w:t>
      </w:r>
      <w:proofErr w:type="spellStart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attivita</w:t>
      </w:r>
      <w:proofErr w:type="spellEnd"/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 xml:space="preserve">̀ delle </w:t>
      </w:r>
      <w:r w:rsidRPr="00C63E68">
        <w:rPr>
          <w:rFonts w:ascii="TimesNewRomanPS" w:eastAsia="Times New Roman" w:hAnsi="TimesNewRomanPS" w:cs="Times New Roman"/>
          <w:b/>
          <w:bCs/>
          <w:color w:val="0000FF"/>
          <w:lang w:eastAsia="it-IT"/>
        </w:rPr>
        <w:t xml:space="preserve">strutture ricettive </w:t>
      </w:r>
      <w:r w:rsidRPr="00C63E68">
        <w:rPr>
          <w:rFonts w:ascii="TimesNewRomanPS" w:eastAsia="Times New Roman" w:hAnsi="TimesNewRomanPS" w:cs="Times New Roman"/>
          <w:b/>
          <w:bCs/>
          <w:lang w:eastAsia="it-IT"/>
        </w:rPr>
        <w:t>sono esercitate a condizione che sia assicurato il mantenimento del distanziamento sociale</w:t>
      </w:r>
      <w:r w:rsidRPr="00C63E68">
        <w:rPr>
          <w:rFonts w:ascii="TimesNewRomanPSMT" w:eastAsia="Times New Roman" w:hAnsi="TimesNewRomanPSMT" w:cs="Times New Roman"/>
          <w:lang w:eastAsia="it-IT"/>
        </w:rPr>
        <w:t xml:space="preserve">, garantendo comunque la distanza interpersonale di sicurezza di un metro negli spazi comuni, nel rispetto dei protocolli e delle linee guida adottati dalle Regioni o dalla Conferenza delle regioni e delle province autonome, idonei a prevenire o ridurre il rischio di contagio e comunque in coerenza con i criteri di cui all'allegato 10, tenuto conto delle diverse tipologie di strutture ricettive. I protocolli o linee guida delle Regioni riguardano in ogni caso: </w:t>
      </w:r>
    </w:p>
    <w:p w14:paraId="11D02280" w14:textId="77777777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1) 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modalita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>̀ di accesso, ricevimento, assistenza agli ospiti;</w:t>
      </w:r>
    </w:p>
    <w:p w14:paraId="1F45603C" w14:textId="78C8312F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2) 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modalita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di utilizzo degli spazi comuni, fatte salve le specifiche prescrizioni adottate per 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>̀ di somministrazione di cibi e bevande e di ristorazione</w:t>
      </w:r>
      <w:r>
        <w:rPr>
          <w:rFonts w:ascii="TimesNewRomanPSMT" w:eastAsia="Times New Roman" w:hAnsi="TimesNewRomanPSMT" w:cs="Times New Roman"/>
          <w:lang w:eastAsia="it-IT"/>
        </w:rPr>
        <w:t>;</w:t>
      </w:r>
    </w:p>
    <w:p w14:paraId="0E4F2E4C" w14:textId="0B4CE04B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>3) le misure igienico-sanitarie per le camere e gli ambienti comuni;</w:t>
      </w:r>
    </w:p>
    <w:p w14:paraId="2858AD8A" w14:textId="0EAFDA0D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lastRenderedPageBreak/>
        <w:t>4) l'accesso dei fornitori esterni;</w:t>
      </w:r>
    </w:p>
    <w:p w14:paraId="193DA60F" w14:textId="77777777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br/>
        <w:t xml:space="preserve">5) 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modalita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di svolgimento delle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attivita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>̀ ludiche e sportive;</w:t>
      </w:r>
    </w:p>
    <w:p w14:paraId="45C61167" w14:textId="77777777" w:rsidR="00C63E68" w:rsidRDefault="00C63E68" w:rsidP="00C63E68">
      <w:p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>6) lo svolgimento di eventuali servizi navetta a disposizione dei clienti;</w:t>
      </w:r>
    </w:p>
    <w:p w14:paraId="6BD8CEE6" w14:textId="5A20E9B0" w:rsidR="00C63E68" w:rsidRPr="00C63E68" w:rsidRDefault="00C63E68" w:rsidP="00C63E6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it-IT"/>
        </w:rPr>
      </w:pPr>
      <w:r w:rsidRPr="00C63E68">
        <w:rPr>
          <w:rFonts w:ascii="TimesNewRomanPSMT" w:eastAsia="Times New Roman" w:hAnsi="TimesNewRomanPSMT" w:cs="Times New Roman"/>
          <w:lang w:eastAsia="it-IT"/>
        </w:rPr>
        <w:t xml:space="preserve">7) le </w:t>
      </w:r>
      <w:proofErr w:type="spellStart"/>
      <w:r w:rsidRPr="00C63E68">
        <w:rPr>
          <w:rFonts w:ascii="TimesNewRomanPSMT" w:eastAsia="Times New Roman" w:hAnsi="TimesNewRomanPSMT" w:cs="Times New Roman"/>
          <w:lang w:eastAsia="it-IT"/>
        </w:rPr>
        <w:t>modalita</w:t>
      </w:r>
      <w:proofErr w:type="spellEnd"/>
      <w:r w:rsidRPr="00C63E68">
        <w:rPr>
          <w:rFonts w:ascii="TimesNewRomanPSMT" w:eastAsia="Times New Roman" w:hAnsi="TimesNewRomanPSMT" w:cs="Times New Roman"/>
          <w:lang w:eastAsia="it-IT"/>
        </w:rPr>
        <w:t xml:space="preserve">̀ di informazione agli ospiti e agli operatori circa le misure di sicurezza e di prevenzione del rischio da seguire all'interno delle strutture ricettive e negli eventuali spazi all'aperto di pertinenza. </w:t>
      </w:r>
    </w:p>
    <w:p w14:paraId="4ACC5A3D" w14:textId="77777777" w:rsidR="00A50241" w:rsidRDefault="00C63E68" w:rsidP="00C63E68">
      <w:pPr>
        <w:jc w:val="both"/>
      </w:pPr>
    </w:p>
    <w:sectPr w:rsidR="00A50241" w:rsidSect="007C2F4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206030504050203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65087"/>
    <w:multiLevelType w:val="multilevel"/>
    <w:tmpl w:val="1FC67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E4E4C"/>
    <w:multiLevelType w:val="multilevel"/>
    <w:tmpl w:val="F914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68"/>
    <w:rsid w:val="000257CE"/>
    <w:rsid w:val="007C2F45"/>
    <w:rsid w:val="00C63E68"/>
    <w:rsid w:val="00F6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9F78"/>
  <w14:defaultImageDpi w14:val="32767"/>
  <w15:chartTrackingRefBased/>
  <w15:docId w15:val="{7E0B04BA-53DA-1147-8B55-12EDB707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3E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7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0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3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7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2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OfficeUser2144</dc:creator>
  <cp:keywords/>
  <dc:description/>
  <cp:lastModifiedBy>OfficeUser2144</cp:lastModifiedBy>
  <cp:revision>1</cp:revision>
  <dcterms:created xsi:type="dcterms:W3CDTF">2020-10-27T17:32:00Z</dcterms:created>
  <dcterms:modified xsi:type="dcterms:W3CDTF">2020-10-27T17:37:00Z</dcterms:modified>
</cp:coreProperties>
</file>